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CD6DAB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445BF5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>INFORME MENSUAL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B93A33">
        <w:rPr>
          <w:rFonts w:ascii="Century Gothic" w:hAnsi="Century Gothic" w:cs="Arial"/>
          <w:b/>
          <w:sz w:val="24"/>
          <w:szCs w:val="24"/>
        </w:rPr>
        <w:t>Febrero</w:t>
      </w:r>
      <w:r w:rsidR="00840318">
        <w:rPr>
          <w:rFonts w:ascii="Century Gothic" w:hAnsi="Century Gothic" w:cs="Arial"/>
          <w:b/>
          <w:sz w:val="24"/>
          <w:szCs w:val="24"/>
        </w:rPr>
        <w:t xml:space="preserve"> 2024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B93A33">
        <w:rPr>
          <w:rFonts w:ascii="Century Gothic" w:hAnsi="Century Gothic" w:cs="Arial"/>
          <w:b/>
          <w:sz w:val="24"/>
          <w:szCs w:val="24"/>
        </w:rPr>
        <w:t>febrero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B93A33">
        <w:rPr>
          <w:rFonts w:ascii="Century Gothic" w:hAnsi="Century Gothic" w:cs="Arial"/>
          <w:b/>
          <w:sz w:val="24"/>
          <w:szCs w:val="24"/>
        </w:rPr>
        <w:t>110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B93A33">
        <w:rPr>
          <w:rFonts w:ascii="Century Gothic" w:hAnsi="Century Gothic" w:cs="Arial"/>
          <w:b/>
          <w:sz w:val="24"/>
          <w:szCs w:val="24"/>
        </w:rPr>
        <w:t>ciento diez</w:t>
      </w:r>
      <w:r w:rsidR="00F83A10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B93A33">
        <w:rPr>
          <w:rFonts w:ascii="Century Gothic" w:hAnsi="Century Gothic" w:cs="Arial"/>
          <w:b/>
          <w:sz w:val="24"/>
          <w:szCs w:val="24"/>
        </w:rPr>
        <w:t>11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B93A33">
        <w:rPr>
          <w:rFonts w:ascii="Century Gothic" w:hAnsi="Century Gothic" w:cs="Arial"/>
          <w:b/>
          <w:sz w:val="24"/>
          <w:szCs w:val="24"/>
        </w:rPr>
        <w:t>once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 w:rsidRPr="00154290">
        <w:rPr>
          <w:rFonts w:ascii="Century Gothic" w:hAnsi="Century Gothic" w:cs="Arial"/>
          <w:sz w:val="24"/>
          <w:szCs w:val="24"/>
        </w:rPr>
        <w:t>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B93A33">
        <w:rPr>
          <w:rFonts w:ascii="Century Gothic" w:hAnsi="Century Gothic" w:cs="Arial"/>
          <w:b/>
          <w:sz w:val="24"/>
          <w:szCs w:val="24"/>
        </w:rPr>
        <w:t>4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B93A33">
        <w:rPr>
          <w:rFonts w:ascii="Century Gothic" w:hAnsi="Century Gothic" w:cs="Arial"/>
          <w:b/>
          <w:sz w:val="24"/>
          <w:szCs w:val="24"/>
        </w:rPr>
        <w:t xml:space="preserve">cuatro) </w:t>
      </w:r>
      <w:r w:rsidR="00B93A33" w:rsidRPr="00154290">
        <w:rPr>
          <w:rFonts w:ascii="Century Gothic" w:hAnsi="Century Gothic" w:cs="Arial"/>
          <w:sz w:val="24"/>
          <w:szCs w:val="24"/>
        </w:rPr>
        <w:t>expedientillos</w:t>
      </w:r>
      <w:r w:rsidR="00B93A33">
        <w:rPr>
          <w:rFonts w:ascii="Century Gothic" w:hAnsi="Century Gothic" w:cs="Arial"/>
          <w:b/>
          <w:sz w:val="24"/>
          <w:szCs w:val="24"/>
        </w:rPr>
        <w:t>, 16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B93A33">
        <w:rPr>
          <w:rFonts w:ascii="Century Gothic" w:hAnsi="Century Gothic" w:cs="Arial"/>
          <w:b/>
          <w:sz w:val="24"/>
          <w:szCs w:val="24"/>
        </w:rPr>
        <w:t>dieciséis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 w:rsidRPr="00154290">
        <w:rPr>
          <w:rFonts w:ascii="Century Gothic" w:hAnsi="Century Gothic" w:cs="Arial"/>
          <w:sz w:val="24"/>
          <w:szCs w:val="24"/>
        </w:rPr>
        <w:t>oficio</w:t>
      </w:r>
      <w:r w:rsidR="007F1666" w:rsidRPr="00154290">
        <w:rPr>
          <w:rFonts w:ascii="Century Gothic" w:hAnsi="Century Gothic" w:cs="Arial"/>
          <w:sz w:val="24"/>
          <w:szCs w:val="24"/>
        </w:rPr>
        <w:t>s</w:t>
      </w:r>
      <w:r w:rsidR="00445BF5" w:rsidRPr="00154290">
        <w:rPr>
          <w:rFonts w:ascii="Century Gothic" w:hAnsi="Century Gothic" w:cs="Arial"/>
          <w:sz w:val="24"/>
          <w:szCs w:val="24"/>
        </w:rPr>
        <w:t xml:space="preserve"> dirigidos a presidencia</w:t>
      </w:r>
      <w:r w:rsidR="00A12386">
        <w:rPr>
          <w:rFonts w:ascii="Century Gothic" w:hAnsi="Century Gothic" w:cs="Arial"/>
          <w:b/>
          <w:sz w:val="24"/>
          <w:szCs w:val="24"/>
        </w:rPr>
        <w:t>, 04 (cuatro</w:t>
      </w:r>
      <w:r w:rsidR="00C335B0">
        <w:rPr>
          <w:rFonts w:ascii="Century Gothic" w:hAnsi="Century Gothic" w:cs="Arial"/>
          <w:b/>
          <w:sz w:val="24"/>
          <w:szCs w:val="24"/>
        </w:rPr>
        <w:t xml:space="preserve">) </w:t>
      </w:r>
      <w:r w:rsidR="00C335B0" w:rsidRPr="00154290">
        <w:rPr>
          <w:rFonts w:ascii="Century Gothic" w:hAnsi="Century Gothic" w:cs="Arial"/>
          <w:sz w:val="24"/>
          <w:szCs w:val="24"/>
        </w:rPr>
        <w:t>oficio dirigido</w:t>
      </w:r>
      <w:r w:rsidR="00B062ED" w:rsidRPr="00154290">
        <w:rPr>
          <w:rFonts w:ascii="Century Gothic" w:hAnsi="Century Gothic" w:cs="Arial"/>
          <w:sz w:val="24"/>
          <w:szCs w:val="24"/>
        </w:rPr>
        <w:t xml:space="preserve"> a Contraloría</w:t>
      </w:r>
      <w:r w:rsidR="00C335B0">
        <w:rPr>
          <w:rFonts w:ascii="Century Gothic" w:hAnsi="Century Gothic" w:cs="Arial"/>
          <w:b/>
          <w:sz w:val="24"/>
          <w:szCs w:val="24"/>
        </w:rPr>
        <w:t>,</w:t>
      </w:r>
      <w:r w:rsidR="00B93A33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B93A33">
        <w:rPr>
          <w:rFonts w:ascii="Century Gothic" w:hAnsi="Century Gothic" w:cs="Arial"/>
          <w:b/>
          <w:bCs/>
          <w:sz w:val="24"/>
          <w:szCs w:val="24"/>
        </w:rPr>
        <w:t>75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B93A33">
        <w:rPr>
          <w:rFonts w:ascii="Century Gothic" w:hAnsi="Century Gothic" w:cs="Arial"/>
          <w:b/>
          <w:bCs/>
          <w:sz w:val="24"/>
          <w:szCs w:val="24"/>
        </w:rPr>
        <w:t>setenta y cinco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>correspo</w:t>
      </w:r>
      <w:bookmarkStart w:id="0" w:name="_GoBack"/>
      <w:bookmarkEnd w:id="0"/>
      <w:r w:rsidR="00BF7780">
        <w:rPr>
          <w:rFonts w:ascii="Century Gothic" w:hAnsi="Century Gothic" w:cs="Arial"/>
          <w:sz w:val="24"/>
          <w:szCs w:val="24"/>
        </w:rPr>
        <w:t xml:space="preserve">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CE2A6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CE2A6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Agosto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A12386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A1238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11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A1238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04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A1238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16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A1238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04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154290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75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B93A3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A33" w:rsidRPr="00C238C4" w:rsidRDefault="00B93A3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A33" w:rsidRDefault="00B93A3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D36C7" w:rsidRDefault="009D36C7" w:rsidP="009D36C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D36C7" w:rsidRDefault="009D36C7" w:rsidP="009D36C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60369" w:rsidRPr="00D75547" w:rsidRDefault="00445BF5" w:rsidP="009D36C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F0466E">
        <w:rPr>
          <w:rFonts w:ascii="Century Gothic" w:hAnsi="Century Gothic" w:cs="Arial"/>
          <w:b/>
          <w:sz w:val="24"/>
          <w:szCs w:val="24"/>
        </w:rPr>
        <w:t>7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F0466E">
        <w:rPr>
          <w:rFonts w:ascii="Century Gothic" w:hAnsi="Century Gothic" w:cs="Arial"/>
          <w:b/>
          <w:sz w:val="24"/>
          <w:szCs w:val="24"/>
        </w:rPr>
        <w:t>siete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F0466E">
        <w:rPr>
          <w:rFonts w:ascii="Century Gothic" w:hAnsi="Century Gothic" w:cs="Arial"/>
          <w:b/>
          <w:sz w:val="24"/>
          <w:szCs w:val="24"/>
        </w:rPr>
        <w:t>03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F0466E">
        <w:rPr>
          <w:rFonts w:ascii="Century Gothic" w:hAnsi="Century Gothic" w:cs="Arial"/>
          <w:b/>
          <w:sz w:val="24"/>
          <w:szCs w:val="24"/>
        </w:rPr>
        <w:t>tres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>Juicio</w:t>
      </w:r>
      <w:r w:rsidR="006C5D65">
        <w:rPr>
          <w:rFonts w:ascii="Century Gothic" w:hAnsi="Century Gothic" w:cs="Arial"/>
          <w:sz w:val="24"/>
          <w:szCs w:val="24"/>
        </w:rPr>
        <w:t>s Electorales</w:t>
      </w:r>
      <w:r w:rsidR="00CA6664">
        <w:rPr>
          <w:rFonts w:ascii="Century Gothic" w:hAnsi="Century Gothic" w:cs="Arial"/>
          <w:sz w:val="24"/>
          <w:szCs w:val="24"/>
        </w:rPr>
        <w:t xml:space="preserve">, </w:t>
      </w:r>
      <w:r w:rsidR="00F0466E">
        <w:rPr>
          <w:rFonts w:ascii="Century Gothic" w:hAnsi="Century Gothic" w:cs="Arial"/>
          <w:b/>
          <w:sz w:val="24"/>
          <w:szCs w:val="24"/>
        </w:rPr>
        <w:t>01 (uno</w:t>
      </w:r>
      <w:r w:rsidR="00CA6664" w:rsidRPr="00C238C4">
        <w:rPr>
          <w:rFonts w:ascii="Century Gothic" w:hAnsi="Century Gothic" w:cs="Arial"/>
          <w:b/>
          <w:sz w:val="24"/>
          <w:szCs w:val="24"/>
        </w:rPr>
        <w:t>)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</w:t>
      </w:r>
      <w:r w:rsidR="00F0466E" w:rsidRPr="00D75547">
        <w:rPr>
          <w:rFonts w:ascii="Century Gothic" w:hAnsi="Century Gothic" w:cs="Arial"/>
          <w:sz w:val="24"/>
          <w:szCs w:val="24"/>
        </w:rPr>
        <w:t>Procedimiento Especial Sancionador.</w:t>
      </w:r>
    </w:p>
    <w:p w:rsidR="00535557" w:rsidRPr="00F334B3" w:rsidRDefault="00445BF5" w:rsidP="008347B0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F0466E">
        <w:rPr>
          <w:rFonts w:ascii="Century Gothic" w:hAnsi="Century Gothic" w:cs="Arial"/>
          <w:b/>
          <w:sz w:val="24"/>
          <w:szCs w:val="24"/>
        </w:rPr>
        <w:t>febrero</w:t>
      </w:r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F0466E">
        <w:rPr>
          <w:rFonts w:ascii="Century Gothic" w:hAnsi="Century Gothic" w:cs="Arial"/>
          <w:b/>
          <w:sz w:val="24"/>
          <w:szCs w:val="24"/>
        </w:rPr>
        <w:t>05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F0466E">
        <w:rPr>
          <w:rFonts w:ascii="Century Gothic" w:hAnsi="Century Gothic" w:cs="Arial"/>
          <w:b/>
          <w:sz w:val="24"/>
          <w:szCs w:val="24"/>
        </w:rPr>
        <w:t>cinco</w:t>
      </w:r>
      <w:r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sz w:val="24"/>
          <w:szCs w:val="24"/>
        </w:rPr>
        <w:t xml:space="preserve">Acuerdos </w:t>
      </w:r>
      <w:r w:rsidR="00955ECA">
        <w:rPr>
          <w:rFonts w:ascii="Century Gothic" w:hAnsi="Century Gothic" w:cs="Arial"/>
          <w:sz w:val="24"/>
          <w:szCs w:val="24"/>
        </w:rPr>
        <w:t>Plenarios</w:t>
      </w:r>
      <w:r w:rsidR="00955ECA">
        <w:rPr>
          <w:rFonts w:ascii="Century Gothic" w:hAnsi="Century Gothic" w:cs="Arial"/>
          <w:b/>
          <w:sz w:val="24"/>
          <w:szCs w:val="24"/>
        </w:rPr>
        <w:t>,</w:t>
      </w:r>
      <w:r w:rsidR="00327189">
        <w:rPr>
          <w:rFonts w:ascii="Century Gothic" w:hAnsi="Century Gothic" w:cs="Arial"/>
          <w:sz w:val="24"/>
          <w:szCs w:val="24"/>
        </w:rPr>
        <w:t xml:space="preserve"> </w:t>
      </w:r>
      <w:r w:rsidR="00F0466E">
        <w:rPr>
          <w:rFonts w:ascii="Century Gothic" w:hAnsi="Century Gothic" w:cs="Arial"/>
          <w:b/>
          <w:sz w:val="24"/>
          <w:szCs w:val="24"/>
        </w:rPr>
        <w:t>11</w:t>
      </w:r>
      <w:r w:rsidR="00F334B3">
        <w:rPr>
          <w:rFonts w:ascii="Century Gothic" w:hAnsi="Century Gothic" w:cs="Arial"/>
          <w:b/>
          <w:sz w:val="24"/>
          <w:szCs w:val="24"/>
        </w:rPr>
        <w:t xml:space="preserve"> (once</w:t>
      </w:r>
      <w:r w:rsidR="00327189">
        <w:rPr>
          <w:rFonts w:ascii="Century Gothic" w:hAnsi="Century Gothic" w:cs="Arial"/>
          <w:b/>
          <w:sz w:val="24"/>
          <w:szCs w:val="24"/>
        </w:rPr>
        <w:t>)</w:t>
      </w:r>
      <w:r w:rsidR="00327189">
        <w:rPr>
          <w:rFonts w:ascii="Century Gothic" w:hAnsi="Century Gothic" w:cs="Arial"/>
          <w:sz w:val="24"/>
          <w:szCs w:val="24"/>
        </w:rPr>
        <w:t xml:space="preserve"> sentencias</w:t>
      </w:r>
      <w:r w:rsidR="00154290">
        <w:rPr>
          <w:rFonts w:ascii="Century Gothic" w:hAnsi="Century Gothic" w:cs="Arial"/>
          <w:sz w:val="24"/>
          <w:szCs w:val="24"/>
        </w:rPr>
        <w:t>,</w:t>
      </w:r>
      <w:r w:rsidR="00327189">
        <w:rPr>
          <w:rFonts w:ascii="Century Gothic" w:hAnsi="Century Gothic" w:cs="Arial"/>
          <w:sz w:val="24"/>
          <w:szCs w:val="24"/>
        </w:rPr>
        <w:t xml:space="preserve"> </w:t>
      </w:r>
      <w:r w:rsidR="00955ECA">
        <w:rPr>
          <w:rFonts w:ascii="Century Gothic" w:hAnsi="Century Gothic" w:cs="Arial"/>
          <w:sz w:val="24"/>
          <w:szCs w:val="24"/>
        </w:rPr>
        <w:t>de las cuales</w:t>
      </w:r>
      <w:r w:rsidR="00154290">
        <w:rPr>
          <w:rFonts w:ascii="Century Gothic" w:hAnsi="Century Gothic" w:cs="Arial"/>
          <w:sz w:val="24"/>
          <w:szCs w:val="24"/>
        </w:rPr>
        <w:t>,</w:t>
      </w:r>
      <w:r w:rsidR="00955ECA">
        <w:rPr>
          <w:rFonts w:ascii="Century Gothic" w:hAnsi="Century Gothic" w:cs="Arial"/>
          <w:sz w:val="24"/>
          <w:szCs w:val="24"/>
        </w:rPr>
        <w:t xml:space="preserve"> </w:t>
      </w:r>
      <w:r w:rsidR="00F334B3">
        <w:rPr>
          <w:rFonts w:ascii="Century Gothic" w:hAnsi="Century Gothic" w:cs="Arial"/>
          <w:b/>
          <w:sz w:val="24"/>
          <w:szCs w:val="24"/>
        </w:rPr>
        <w:t>02 (dos</w:t>
      </w:r>
      <w:r w:rsidR="00535557">
        <w:rPr>
          <w:rFonts w:ascii="Century Gothic" w:hAnsi="Century Gothic" w:cs="Arial"/>
          <w:b/>
          <w:sz w:val="24"/>
          <w:szCs w:val="24"/>
        </w:rPr>
        <w:t xml:space="preserve">) </w:t>
      </w:r>
      <w:r w:rsidR="00535557">
        <w:rPr>
          <w:rFonts w:ascii="Century Gothic" w:hAnsi="Century Gothic" w:cs="Arial"/>
          <w:sz w:val="24"/>
          <w:szCs w:val="24"/>
        </w:rPr>
        <w:t>son relativas a JE</w:t>
      </w:r>
      <w:r w:rsidR="00327189">
        <w:rPr>
          <w:rFonts w:ascii="Century Gothic" w:hAnsi="Century Gothic" w:cs="Arial"/>
          <w:sz w:val="24"/>
          <w:szCs w:val="24"/>
        </w:rPr>
        <w:t xml:space="preserve">, </w:t>
      </w:r>
      <w:r w:rsidR="00154290">
        <w:rPr>
          <w:rFonts w:ascii="Century Gothic" w:hAnsi="Century Gothic" w:cs="Arial"/>
          <w:b/>
          <w:sz w:val="24"/>
          <w:szCs w:val="24"/>
        </w:rPr>
        <w:t>08 (ocho</w:t>
      </w:r>
      <w:r w:rsidR="00327189">
        <w:rPr>
          <w:rFonts w:ascii="Century Gothic" w:hAnsi="Century Gothic" w:cs="Arial"/>
          <w:b/>
          <w:sz w:val="24"/>
          <w:szCs w:val="24"/>
        </w:rPr>
        <w:t xml:space="preserve">) </w:t>
      </w:r>
      <w:r w:rsidR="00F334B3">
        <w:rPr>
          <w:rFonts w:ascii="Century Gothic" w:hAnsi="Century Gothic" w:cs="Arial"/>
          <w:sz w:val="24"/>
          <w:szCs w:val="24"/>
        </w:rPr>
        <w:t xml:space="preserve">sentencias relativas a JDC y </w:t>
      </w:r>
      <w:r w:rsidR="00F334B3">
        <w:rPr>
          <w:rFonts w:ascii="Century Gothic" w:hAnsi="Century Gothic" w:cs="Arial"/>
          <w:b/>
          <w:sz w:val="24"/>
          <w:szCs w:val="24"/>
        </w:rPr>
        <w:t xml:space="preserve">01 (uno) </w:t>
      </w:r>
      <w:r w:rsidR="00F334B3">
        <w:rPr>
          <w:rFonts w:ascii="Century Gothic" w:hAnsi="Century Gothic" w:cs="Arial"/>
          <w:sz w:val="24"/>
          <w:szCs w:val="24"/>
        </w:rPr>
        <w:t>Asunto General.</w:t>
      </w:r>
    </w:p>
    <w:p w:rsidR="00445BF5" w:rsidRPr="008347B0" w:rsidRDefault="00265F48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 w:rsidR="00F334B3">
        <w:rPr>
          <w:rFonts w:ascii="Century Gothic" w:hAnsi="Century Gothic" w:cs="Arial"/>
          <w:b/>
          <w:sz w:val="24"/>
          <w:szCs w:val="24"/>
        </w:rPr>
        <w:t>04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F334B3">
        <w:rPr>
          <w:rFonts w:ascii="Century Gothic" w:hAnsi="Century Gothic" w:cs="Arial"/>
          <w:b/>
          <w:sz w:val="24"/>
          <w:szCs w:val="24"/>
        </w:rPr>
        <w:t>cuatro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 w:rsidR="00AF2624">
        <w:rPr>
          <w:rFonts w:ascii="Century Gothic" w:hAnsi="Century Gothic" w:cs="Arial"/>
          <w:sz w:val="24"/>
          <w:szCs w:val="24"/>
        </w:rPr>
        <w:t xml:space="preserve">de los cuales </w:t>
      </w:r>
      <w:r w:rsidR="00F334B3">
        <w:rPr>
          <w:rFonts w:ascii="Century Gothic" w:hAnsi="Century Gothic" w:cs="Arial"/>
          <w:b/>
          <w:sz w:val="24"/>
          <w:szCs w:val="24"/>
        </w:rPr>
        <w:t>02 (dos</w:t>
      </w:r>
      <w:r w:rsidR="006C5D65" w:rsidRPr="00C238C4"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sz w:val="24"/>
          <w:szCs w:val="24"/>
        </w:rPr>
        <w:t xml:space="preserve"> </w:t>
      </w:r>
      <w:r w:rsidR="001B145C">
        <w:rPr>
          <w:rFonts w:ascii="Century Gothic" w:hAnsi="Century Gothic" w:cs="Arial"/>
          <w:sz w:val="24"/>
          <w:szCs w:val="24"/>
        </w:rPr>
        <w:t xml:space="preserve">corresponden </w:t>
      </w:r>
      <w:r w:rsidR="00E10292" w:rsidRPr="00C238C4">
        <w:rPr>
          <w:rFonts w:ascii="Century Gothic" w:hAnsi="Century Gothic" w:cs="Arial"/>
          <w:sz w:val="24"/>
          <w:szCs w:val="24"/>
        </w:rPr>
        <w:t>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</w:t>
      </w:r>
      <w:r w:rsidR="00C901DF">
        <w:rPr>
          <w:rFonts w:ascii="Century Gothic" w:hAnsi="Century Gothic" w:cs="Arial"/>
          <w:sz w:val="24"/>
          <w:szCs w:val="24"/>
        </w:rPr>
        <w:t>electorales</w:t>
      </w:r>
      <w:r w:rsidR="008347B0">
        <w:rPr>
          <w:rFonts w:ascii="Century Gothic" w:hAnsi="Century Gothic" w:cs="Arial"/>
          <w:sz w:val="24"/>
          <w:szCs w:val="24"/>
        </w:rPr>
        <w:t xml:space="preserve"> y </w:t>
      </w:r>
      <w:r w:rsidR="00F334B3">
        <w:rPr>
          <w:rFonts w:ascii="Century Gothic" w:hAnsi="Century Gothic" w:cs="Arial"/>
          <w:b/>
          <w:sz w:val="24"/>
          <w:szCs w:val="24"/>
        </w:rPr>
        <w:t>02 (dos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>asuntos diversos.</w:t>
      </w:r>
    </w:p>
    <w:tbl>
      <w:tblPr>
        <w:tblpPr w:leftFromText="141" w:rightFromText="141" w:vertAnchor="text" w:horzAnchor="margin" w:tblpX="-719" w:tblpY="103"/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</w:tblGrid>
      <w:tr w:rsidR="008347B0" w:rsidRPr="00C238C4" w:rsidTr="008347B0">
        <w:trPr>
          <w:trHeight w:val="76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EXPEDIENTILLOS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D6DAB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</w:tr>
      <w:tr w:rsidR="008347B0" w:rsidRPr="00C238C4" w:rsidTr="008347B0">
        <w:trPr>
          <w:trHeight w:val="7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901D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901D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Notificación de Tesis y Jurisprudencias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D6DAB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</w:t>
            </w:r>
          </w:p>
        </w:tc>
      </w:tr>
      <w:tr w:rsidR="008347B0" w:rsidRPr="00C238C4" w:rsidTr="008347B0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Default="00CD6DAB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D34AAA" w:rsidRPr="003F4CFD" w:rsidRDefault="008347B0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4036F5E4" wp14:editId="1783FC01">
            <wp:simplePos x="0" y="0"/>
            <wp:positionH relativeFrom="margin">
              <wp:posOffset>2801248</wp:posOffset>
            </wp:positionH>
            <wp:positionV relativeFrom="paragraph">
              <wp:posOffset>63992</wp:posOffset>
            </wp:positionV>
            <wp:extent cx="2854960" cy="2362835"/>
            <wp:effectExtent l="0" t="0" r="2540" b="1841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D940B6" w:rsidRDefault="0016508E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29FC3" wp14:editId="4597E4BD">
                <wp:simplePos x="0" y="0"/>
                <wp:positionH relativeFrom="page">
                  <wp:posOffset>2673985</wp:posOffset>
                </wp:positionH>
                <wp:positionV relativeFrom="paragraph">
                  <wp:posOffset>1432560</wp:posOffset>
                </wp:positionV>
                <wp:extent cx="2828260" cy="57415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Li</w:t>
                            </w:r>
                            <w:r w:rsidR="00AF2624">
                              <w:rPr>
                                <w:rFonts w:ascii="Century Gothic" w:hAnsi="Century Gothic"/>
                                <w:b/>
                              </w:rPr>
                              <w:t>c. Juan Manuel García Peña</w:t>
                            </w:r>
                          </w:p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Oficial de Partes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9F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0.55pt;margin-top:112.8pt;width:222.7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" filled="f" stroked="f" strokeweight=".5pt">
                <v:textbox>
                  <w:txbxContent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Li</w:t>
                      </w:r>
                      <w:r w:rsidR="00AF2624">
                        <w:rPr>
                          <w:rFonts w:ascii="Century Gothic" w:hAnsi="Century Gothic"/>
                          <w:b/>
                        </w:rPr>
                        <w:t>c. Juan Manuel García Peña</w:t>
                      </w:r>
                    </w:p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Oficial de Partes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0B6" w:rsidRPr="00D940B6" w:rsidRDefault="00D940B6" w:rsidP="00D940B6"/>
    <w:p w:rsidR="00D940B6" w:rsidRPr="00D940B6" w:rsidRDefault="005146C3" w:rsidP="00D940B6">
      <w:r w:rsidRPr="001D53A7"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750F2D4F" wp14:editId="624A325F">
            <wp:simplePos x="0" y="0"/>
            <wp:positionH relativeFrom="margin">
              <wp:posOffset>2096035</wp:posOffset>
            </wp:positionH>
            <wp:positionV relativeFrom="paragraph">
              <wp:posOffset>36496</wp:posOffset>
            </wp:positionV>
            <wp:extent cx="1714500" cy="10874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0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0B6" w:rsidRPr="00D940B6" w:rsidRDefault="00D940B6" w:rsidP="00D940B6"/>
    <w:p w:rsidR="00D940B6" w:rsidRDefault="00D940B6" w:rsidP="00D940B6"/>
    <w:p w:rsidR="009B133A" w:rsidRPr="00D940B6" w:rsidRDefault="00D940B6" w:rsidP="00D940B6">
      <w:pPr>
        <w:tabs>
          <w:tab w:val="left" w:pos="4931"/>
        </w:tabs>
      </w:pPr>
      <w:r>
        <w:tab/>
      </w:r>
    </w:p>
    <w:sectPr w:rsidR="009B133A" w:rsidRPr="00D940B6" w:rsidSect="008022AB">
      <w:headerReference w:type="default" r:id="rId10"/>
      <w:footerReference w:type="default" r:id="rId11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07" w:rsidRDefault="00D15207" w:rsidP="00B06BD5">
      <w:pPr>
        <w:spacing w:after="0" w:line="240" w:lineRule="auto"/>
      </w:pPr>
      <w:r>
        <w:separator/>
      </w:r>
    </w:p>
  </w:endnote>
  <w:endnote w:type="continuationSeparator" w:id="0">
    <w:p w:rsidR="00D15207" w:rsidRDefault="00D15207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07" w:rsidRDefault="00D15207" w:rsidP="00B06BD5">
      <w:pPr>
        <w:spacing w:after="0" w:line="240" w:lineRule="auto"/>
      </w:pPr>
      <w:r>
        <w:separator/>
      </w:r>
    </w:p>
  </w:footnote>
  <w:footnote w:type="continuationSeparator" w:id="0">
    <w:p w:rsidR="00D15207" w:rsidRDefault="00D15207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138F8"/>
    <w:rsid w:val="00085351"/>
    <w:rsid w:val="000A21E9"/>
    <w:rsid w:val="000A4F4F"/>
    <w:rsid w:val="00112FFE"/>
    <w:rsid w:val="0011681E"/>
    <w:rsid w:val="0013091E"/>
    <w:rsid w:val="00154290"/>
    <w:rsid w:val="00161BF2"/>
    <w:rsid w:val="0016508E"/>
    <w:rsid w:val="00186614"/>
    <w:rsid w:val="001B145C"/>
    <w:rsid w:val="001D1459"/>
    <w:rsid w:val="001F73C6"/>
    <w:rsid w:val="002321E4"/>
    <w:rsid w:val="00265F48"/>
    <w:rsid w:val="00270C73"/>
    <w:rsid w:val="002774B5"/>
    <w:rsid w:val="002804EC"/>
    <w:rsid w:val="003209D6"/>
    <w:rsid w:val="00327189"/>
    <w:rsid w:val="00351AC6"/>
    <w:rsid w:val="00352312"/>
    <w:rsid w:val="00382415"/>
    <w:rsid w:val="003D1F0C"/>
    <w:rsid w:val="003F4CFD"/>
    <w:rsid w:val="003F68CE"/>
    <w:rsid w:val="0043682A"/>
    <w:rsid w:val="00445BF5"/>
    <w:rsid w:val="00445F29"/>
    <w:rsid w:val="00454413"/>
    <w:rsid w:val="004572BA"/>
    <w:rsid w:val="00492AC0"/>
    <w:rsid w:val="004B3588"/>
    <w:rsid w:val="004D12D4"/>
    <w:rsid w:val="005146C3"/>
    <w:rsid w:val="00535557"/>
    <w:rsid w:val="00547909"/>
    <w:rsid w:val="005747F1"/>
    <w:rsid w:val="005D070D"/>
    <w:rsid w:val="00605FE0"/>
    <w:rsid w:val="00616315"/>
    <w:rsid w:val="00623EF0"/>
    <w:rsid w:val="00664D7F"/>
    <w:rsid w:val="0069566B"/>
    <w:rsid w:val="006A3731"/>
    <w:rsid w:val="006B13D3"/>
    <w:rsid w:val="006C5D65"/>
    <w:rsid w:val="00707E86"/>
    <w:rsid w:val="00713652"/>
    <w:rsid w:val="00715E9B"/>
    <w:rsid w:val="00750F65"/>
    <w:rsid w:val="00772547"/>
    <w:rsid w:val="007817F6"/>
    <w:rsid w:val="007A0114"/>
    <w:rsid w:val="007E1159"/>
    <w:rsid w:val="007F1666"/>
    <w:rsid w:val="008022AB"/>
    <w:rsid w:val="00807B38"/>
    <w:rsid w:val="00821B32"/>
    <w:rsid w:val="008347B0"/>
    <w:rsid w:val="00837BCE"/>
    <w:rsid w:val="00840318"/>
    <w:rsid w:val="008A1CE5"/>
    <w:rsid w:val="008A3D8F"/>
    <w:rsid w:val="008B3294"/>
    <w:rsid w:val="008F5161"/>
    <w:rsid w:val="00901B3D"/>
    <w:rsid w:val="0091700F"/>
    <w:rsid w:val="00955ECA"/>
    <w:rsid w:val="00960369"/>
    <w:rsid w:val="00996ACD"/>
    <w:rsid w:val="009B133A"/>
    <w:rsid w:val="009C3E1E"/>
    <w:rsid w:val="009D36C7"/>
    <w:rsid w:val="009E4DCF"/>
    <w:rsid w:val="009F08FB"/>
    <w:rsid w:val="00A106E4"/>
    <w:rsid w:val="00A12386"/>
    <w:rsid w:val="00A67948"/>
    <w:rsid w:val="00A83CF1"/>
    <w:rsid w:val="00A92DB9"/>
    <w:rsid w:val="00AA3A71"/>
    <w:rsid w:val="00AB4F22"/>
    <w:rsid w:val="00AC0789"/>
    <w:rsid w:val="00AC7544"/>
    <w:rsid w:val="00AD5696"/>
    <w:rsid w:val="00AF2624"/>
    <w:rsid w:val="00AF2807"/>
    <w:rsid w:val="00AF55CD"/>
    <w:rsid w:val="00B062ED"/>
    <w:rsid w:val="00B06BD5"/>
    <w:rsid w:val="00B236B7"/>
    <w:rsid w:val="00B47EA1"/>
    <w:rsid w:val="00B51CEB"/>
    <w:rsid w:val="00B53359"/>
    <w:rsid w:val="00B82DF4"/>
    <w:rsid w:val="00B93A33"/>
    <w:rsid w:val="00BF3379"/>
    <w:rsid w:val="00BF7780"/>
    <w:rsid w:val="00C31066"/>
    <w:rsid w:val="00C335B0"/>
    <w:rsid w:val="00C35C85"/>
    <w:rsid w:val="00C901DF"/>
    <w:rsid w:val="00CA6664"/>
    <w:rsid w:val="00CB61CB"/>
    <w:rsid w:val="00CC713E"/>
    <w:rsid w:val="00CD6DAB"/>
    <w:rsid w:val="00CE2A6E"/>
    <w:rsid w:val="00D136B2"/>
    <w:rsid w:val="00D15207"/>
    <w:rsid w:val="00D34AAA"/>
    <w:rsid w:val="00D60986"/>
    <w:rsid w:val="00D75547"/>
    <w:rsid w:val="00D87101"/>
    <w:rsid w:val="00D940B6"/>
    <w:rsid w:val="00DC26EE"/>
    <w:rsid w:val="00DC6B65"/>
    <w:rsid w:val="00E10292"/>
    <w:rsid w:val="00E57A4B"/>
    <w:rsid w:val="00E63339"/>
    <w:rsid w:val="00E73614"/>
    <w:rsid w:val="00E7461F"/>
    <w:rsid w:val="00E85098"/>
    <w:rsid w:val="00E971AC"/>
    <w:rsid w:val="00EB64BE"/>
    <w:rsid w:val="00ED3FE7"/>
    <w:rsid w:val="00F02363"/>
    <w:rsid w:val="00F0466E"/>
    <w:rsid w:val="00F334B3"/>
    <w:rsid w:val="00F61FDE"/>
    <w:rsid w:val="00F67006"/>
    <w:rsid w:val="00F83A10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3CA3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2024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34461750672E-2"/>
          <c:y val="0.1868545064345589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9.4125093396172199E-2"/>
                  <c:y val="-0.1665600346965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11</c:v>
                </c:pt>
                <c:pt idx="1">
                  <c:v>4</c:v>
                </c:pt>
                <c:pt idx="2">
                  <c:v>16</c:v>
                </c:pt>
                <c:pt idx="3">
                  <c:v>75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784795583825E-2"/>
          <c:y val="0.21781165422045975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A4-48B7-8A06-255D85CC7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A4-48B7-8A06-255D85CC7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9A4-48B7-8A06-255D85CC7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9A4-48B7-8A06-255D85CC75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9A4-48B7-8A06-255D85CC75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9A4-48B7-8A06-255D85CC75AA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9A4-48B7-8A06-255D85CC75AA}"/>
                </c:ext>
              </c:extLst>
            </c:dLbl>
            <c:dLbl>
              <c:idx val="1"/>
              <c:layout>
                <c:manualLayout>
                  <c:x val="0.25426766049261634"/>
                  <c:y val="-0.102061295012135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4440132261047445"/>
                      <c:h val="0.14906880929053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A4-48B7-8A06-255D85CC75AA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9A4-48B7-8A06-255D85CC75AA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9A4-48B7-8A06-255D85CC75AA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A9A4-48B7-8A06-255D85CC75AA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9A4-48B7-8A06-255D85CC7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3"/>
                <c:pt idx="0">
                  <c:v>JE</c:v>
                </c:pt>
                <c:pt idx="1">
                  <c:v>NOTIFIACIONES</c:v>
                </c:pt>
                <c:pt idx="2">
                  <c:v>OTROS  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4-48B7-8A06-255D85CC75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A403-BFC1-4A2A-8DEB-62572DB0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13</cp:revision>
  <cp:lastPrinted>2023-09-07T18:22:00Z</cp:lastPrinted>
  <dcterms:created xsi:type="dcterms:W3CDTF">2024-01-03T18:43:00Z</dcterms:created>
  <dcterms:modified xsi:type="dcterms:W3CDTF">2024-03-02T17:18:00Z</dcterms:modified>
</cp:coreProperties>
</file>