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445BF5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>INFORME MENSUAL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F83A10">
        <w:rPr>
          <w:rFonts w:ascii="Century Gothic" w:hAnsi="Century Gothic" w:cs="Arial"/>
          <w:b/>
          <w:sz w:val="24"/>
          <w:szCs w:val="24"/>
        </w:rPr>
        <w:t>Diciembre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proofErr w:type="gramStart"/>
      <w:r w:rsidR="00F83A10">
        <w:rPr>
          <w:rFonts w:ascii="Century Gothic" w:hAnsi="Century Gothic" w:cs="Arial"/>
          <w:b/>
          <w:sz w:val="24"/>
          <w:szCs w:val="24"/>
        </w:rPr>
        <w:t>Diciembre</w:t>
      </w:r>
      <w:proofErr w:type="gramEnd"/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F83A10">
        <w:rPr>
          <w:rFonts w:ascii="Century Gothic" w:hAnsi="Century Gothic" w:cs="Arial"/>
          <w:b/>
          <w:sz w:val="24"/>
          <w:szCs w:val="24"/>
        </w:rPr>
        <w:t>101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F83A10">
        <w:rPr>
          <w:rFonts w:ascii="Century Gothic" w:hAnsi="Century Gothic" w:cs="Arial"/>
          <w:b/>
          <w:sz w:val="24"/>
          <w:szCs w:val="24"/>
        </w:rPr>
        <w:t>ciento uno)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445F29">
        <w:rPr>
          <w:rFonts w:ascii="Century Gothic" w:hAnsi="Century Gothic" w:cs="Arial"/>
          <w:b/>
          <w:sz w:val="24"/>
          <w:szCs w:val="24"/>
        </w:rPr>
        <w:t>18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445F29">
        <w:rPr>
          <w:rFonts w:ascii="Century Gothic" w:hAnsi="Century Gothic" w:cs="Arial"/>
          <w:b/>
          <w:sz w:val="24"/>
          <w:szCs w:val="24"/>
        </w:rPr>
        <w:t>dieciocho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F83A10">
        <w:rPr>
          <w:rFonts w:ascii="Century Gothic" w:hAnsi="Century Gothic" w:cs="Arial"/>
          <w:b/>
          <w:sz w:val="24"/>
          <w:szCs w:val="24"/>
        </w:rPr>
        <w:t>9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F83A10">
        <w:rPr>
          <w:rFonts w:ascii="Century Gothic" w:hAnsi="Century Gothic" w:cs="Arial"/>
          <w:b/>
          <w:sz w:val="24"/>
          <w:szCs w:val="24"/>
        </w:rPr>
        <w:t>nueve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) expedientillos electorales, </w:t>
      </w:r>
      <w:r w:rsidR="00F83A10">
        <w:rPr>
          <w:rFonts w:ascii="Century Gothic" w:hAnsi="Century Gothic" w:cs="Arial"/>
          <w:b/>
          <w:sz w:val="24"/>
          <w:szCs w:val="24"/>
        </w:rPr>
        <w:t>17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F83A10">
        <w:rPr>
          <w:rFonts w:ascii="Century Gothic" w:hAnsi="Century Gothic" w:cs="Arial"/>
          <w:b/>
          <w:sz w:val="24"/>
          <w:szCs w:val="24"/>
        </w:rPr>
        <w:t>diecisiete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C335B0">
        <w:rPr>
          <w:rFonts w:ascii="Century Gothic" w:hAnsi="Century Gothic" w:cs="Arial"/>
          <w:b/>
          <w:sz w:val="24"/>
          <w:szCs w:val="24"/>
        </w:rPr>
        <w:t>, 01 (uno) oficio dirigido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 a Contraloría</w:t>
      </w:r>
      <w:r w:rsidR="00C335B0">
        <w:rPr>
          <w:rFonts w:ascii="Century Gothic" w:hAnsi="Century Gothic" w:cs="Arial"/>
          <w:b/>
          <w:sz w:val="24"/>
          <w:szCs w:val="24"/>
        </w:rPr>
        <w:t>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445F29">
        <w:rPr>
          <w:rFonts w:ascii="Century Gothic" w:hAnsi="Century Gothic" w:cs="Arial"/>
          <w:b/>
          <w:bCs/>
          <w:sz w:val="24"/>
          <w:szCs w:val="24"/>
        </w:rPr>
        <w:t>56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445F29">
        <w:rPr>
          <w:rFonts w:ascii="Century Gothic" w:hAnsi="Century Gothic" w:cs="Arial"/>
          <w:b/>
          <w:bCs/>
          <w:sz w:val="24"/>
          <w:szCs w:val="24"/>
        </w:rPr>
        <w:t>cincuenta y seis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 xml:space="preserve">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CE2A6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CE2A6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Agosto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83A10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73614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18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83A10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9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F83A10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17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73614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56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60369" w:rsidRPr="00CA6664" w:rsidRDefault="00445BF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445F29">
        <w:rPr>
          <w:rFonts w:ascii="Century Gothic" w:hAnsi="Century Gothic" w:cs="Arial"/>
          <w:b/>
          <w:sz w:val="24"/>
          <w:szCs w:val="24"/>
        </w:rPr>
        <w:t>8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445F29">
        <w:rPr>
          <w:rFonts w:ascii="Century Gothic" w:hAnsi="Century Gothic" w:cs="Arial"/>
          <w:b/>
          <w:sz w:val="24"/>
          <w:szCs w:val="24"/>
        </w:rPr>
        <w:t>ocho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445F29">
        <w:rPr>
          <w:rFonts w:ascii="Century Gothic" w:hAnsi="Century Gothic" w:cs="Arial"/>
          <w:b/>
          <w:sz w:val="24"/>
          <w:szCs w:val="24"/>
        </w:rPr>
        <w:t>09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445F29">
        <w:rPr>
          <w:rFonts w:ascii="Century Gothic" w:hAnsi="Century Gothic" w:cs="Arial"/>
          <w:b/>
          <w:sz w:val="24"/>
          <w:szCs w:val="24"/>
        </w:rPr>
        <w:t>nueve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>Juicio</w:t>
      </w:r>
      <w:r w:rsidR="006C5D65">
        <w:rPr>
          <w:rFonts w:ascii="Century Gothic" w:hAnsi="Century Gothic" w:cs="Arial"/>
          <w:sz w:val="24"/>
          <w:szCs w:val="24"/>
        </w:rPr>
        <w:t>s Electorales</w:t>
      </w:r>
      <w:r w:rsidR="00CA6664">
        <w:rPr>
          <w:rFonts w:ascii="Century Gothic" w:hAnsi="Century Gothic" w:cs="Arial"/>
          <w:sz w:val="24"/>
          <w:szCs w:val="24"/>
        </w:rPr>
        <w:t xml:space="preserve">, </w:t>
      </w:r>
      <w:r w:rsidR="00CA6664">
        <w:rPr>
          <w:rFonts w:ascii="Century Gothic" w:hAnsi="Century Gothic" w:cs="Arial"/>
          <w:b/>
          <w:sz w:val="24"/>
          <w:szCs w:val="24"/>
        </w:rPr>
        <w:t>01 (uno</w:t>
      </w:r>
      <w:r w:rsidR="00CA6664" w:rsidRPr="00C238C4">
        <w:rPr>
          <w:rFonts w:ascii="Century Gothic" w:hAnsi="Century Gothic" w:cs="Arial"/>
          <w:b/>
          <w:sz w:val="24"/>
          <w:szCs w:val="24"/>
        </w:rPr>
        <w:t>)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</w:t>
      </w:r>
      <w:r w:rsidR="00445F29">
        <w:rPr>
          <w:rFonts w:ascii="Century Gothic" w:hAnsi="Century Gothic" w:cs="Arial"/>
          <w:b/>
          <w:sz w:val="24"/>
          <w:szCs w:val="24"/>
        </w:rPr>
        <w:t>asuntos Generales</w:t>
      </w:r>
    </w:p>
    <w:p w:rsidR="00327189" w:rsidRPr="00327189" w:rsidRDefault="00445BF5" w:rsidP="008347B0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445F29">
        <w:rPr>
          <w:rFonts w:ascii="Century Gothic" w:hAnsi="Century Gothic" w:cs="Arial"/>
          <w:b/>
          <w:sz w:val="24"/>
          <w:szCs w:val="24"/>
        </w:rPr>
        <w:t>diciembre</w:t>
      </w:r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327189">
        <w:rPr>
          <w:rFonts w:ascii="Century Gothic" w:hAnsi="Century Gothic" w:cs="Arial"/>
          <w:b/>
          <w:sz w:val="24"/>
          <w:szCs w:val="24"/>
        </w:rPr>
        <w:t>un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327189">
        <w:rPr>
          <w:rFonts w:ascii="Century Gothic" w:hAnsi="Century Gothic" w:cs="Arial"/>
          <w:b/>
          <w:sz w:val="24"/>
          <w:szCs w:val="24"/>
        </w:rPr>
        <w:t>uno</w:t>
      </w:r>
      <w:r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sz w:val="24"/>
          <w:szCs w:val="24"/>
        </w:rPr>
        <w:t>Acuerdos Plenarios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, </w:t>
      </w:r>
      <w:r w:rsidR="006C5D65">
        <w:rPr>
          <w:rFonts w:ascii="Century Gothic" w:hAnsi="Century Gothic" w:cs="Arial"/>
          <w:sz w:val="24"/>
          <w:szCs w:val="24"/>
        </w:rPr>
        <w:t xml:space="preserve">relativos a </w:t>
      </w:r>
      <w:r>
        <w:rPr>
          <w:rFonts w:ascii="Century Gothic" w:hAnsi="Century Gothic" w:cs="Arial"/>
          <w:sz w:val="24"/>
          <w:szCs w:val="24"/>
        </w:rPr>
        <w:t>Juicio</w:t>
      </w:r>
      <w:r w:rsidR="00327189">
        <w:rPr>
          <w:rFonts w:ascii="Century Gothic" w:hAnsi="Century Gothic" w:cs="Arial"/>
          <w:sz w:val="24"/>
          <w:szCs w:val="24"/>
        </w:rPr>
        <w:t xml:space="preserve"> Electoral, </w:t>
      </w:r>
      <w:r w:rsidR="00327189">
        <w:rPr>
          <w:rFonts w:ascii="Century Gothic" w:hAnsi="Century Gothic" w:cs="Arial"/>
          <w:b/>
          <w:sz w:val="24"/>
          <w:szCs w:val="24"/>
        </w:rPr>
        <w:t>04 (cuatro)</w:t>
      </w:r>
      <w:r w:rsidR="00327189">
        <w:rPr>
          <w:rFonts w:ascii="Century Gothic" w:hAnsi="Century Gothic" w:cs="Arial"/>
          <w:sz w:val="24"/>
          <w:szCs w:val="24"/>
        </w:rPr>
        <w:t xml:space="preserve"> sentencias relativas a JDC, </w:t>
      </w:r>
      <w:r w:rsidR="00327189">
        <w:rPr>
          <w:rFonts w:ascii="Century Gothic" w:hAnsi="Century Gothic" w:cs="Arial"/>
          <w:b/>
          <w:sz w:val="24"/>
          <w:szCs w:val="24"/>
        </w:rPr>
        <w:t xml:space="preserve">05 (cinco) </w:t>
      </w:r>
      <w:r w:rsidR="00327189">
        <w:rPr>
          <w:rFonts w:ascii="Century Gothic" w:hAnsi="Century Gothic" w:cs="Arial"/>
          <w:sz w:val="24"/>
          <w:szCs w:val="24"/>
        </w:rPr>
        <w:t xml:space="preserve">sentencias relativas a JE, </w:t>
      </w:r>
      <w:r w:rsidR="00327189">
        <w:rPr>
          <w:rFonts w:ascii="Century Gothic" w:hAnsi="Century Gothic" w:cs="Arial"/>
          <w:b/>
          <w:sz w:val="24"/>
          <w:szCs w:val="24"/>
        </w:rPr>
        <w:t xml:space="preserve">01(uno) </w:t>
      </w:r>
      <w:r w:rsidR="00327189">
        <w:rPr>
          <w:rFonts w:ascii="Century Gothic" w:hAnsi="Century Gothic" w:cs="Arial"/>
          <w:sz w:val="24"/>
          <w:szCs w:val="24"/>
        </w:rPr>
        <w:t xml:space="preserve">sentencia relativa a un AG y </w:t>
      </w:r>
      <w:r w:rsidR="00327189">
        <w:rPr>
          <w:rFonts w:ascii="Century Gothic" w:hAnsi="Century Gothic" w:cs="Arial"/>
          <w:b/>
          <w:sz w:val="24"/>
          <w:szCs w:val="24"/>
        </w:rPr>
        <w:t xml:space="preserve">01(uno) </w:t>
      </w:r>
      <w:r w:rsidR="00327189">
        <w:rPr>
          <w:rFonts w:ascii="Century Gothic" w:hAnsi="Century Gothic" w:cs="Arial"/>
          <w:sz w:val="24"/>
          <w:szCs w:val="24"/>
        </w:rPr>
        <w:t>Acuerdo Plenario Relativo a un JE.</w:t>
      </w:r>
    </w:p>
    <w:p w:rsidR="00445BF5" w:rsidRPr="008347B0" w:rsidRDefault="00265F48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 w:rsidR="00AF2624">
        <w:rPr>
          <w:rFonts w:ascii="Century Gothic" w:hAnsi="Century Gothic" w:cs="Arial"/>
          <w:b/>
          <w:sz w:val="24"/>
          <w:szCs w:val="24"/>
        </w:rPr>
        <w:t>09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AF2624">
        <w:rPr>
          <w:rFonts w:ascii="Century Gothic" w:hAnsi="Century Gothic" w:cs="Arial"/>
          <w:b/>
          <w:sz w:val="24"/>
          <w:szCs w:val="24"/>
        </w:rPr>
        <w:t>nueve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 w:rsidR="00AF2624">
        <w:rPr>
          <w:rFonts w:ascii="Century Gothic" w:hAnsi="Century Gothic" w:cs="Arial"/>
          <w:sz w:val="24"/>
          <w:szCs w:val="24"/>
        </w:rPr>
        <w:t xml:space="preserve">de los cuales </w:t>
      </w:r>
      <w:r w:rsidR="00AF2624">
        <w:rPr>
          <w:rFonts w:ascii="Century Gothic" w:hAnsi="Century Gothic" w:cs="Arial"/>
          <w:b/>
          <w:sz w:val="24"/>
          <w:szCs w:val="24"/>
        </w:rPr>
        <w:t>01 (uno</w:t>
      </w:r>
      <w:r w:rsidR="006C5D65" w:rsidRPr="00C238C4"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sz w:val="24"/>
          <w:szCs w:val="24"/>
        </w:rPr>
        <w:t xml:space="preserve"> </w:t>
      </w:r>
      <w:r w:rsidR="001B145C">
        <w:rPr>
          <w:rFonts w:ascii="Century Gothic" w:hAnsi="Century Gothic" w:cs="Arial"/>
          <w:sz w:val="24"/>
          <w:szCs w:val="24"/>
        </w:rPr>
        <w:t xml:space="preserve">corresponden </w:t>
      </w:r>
      <w:r w:rsidR="00E10292" w:rsidRPr="00C238C4">
        <w:rPr>
          <w:rFonts w:ascii="Century Gothic" w:hAnsi="Century Gothic" w:cs="Arial"/>
          <w:sz w:val="24"/>
          <w:szCs w:val="24"/>
        </w:rPr>
        <w:t>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</w:t>
      </w:r>
      <w:r w:rsidR="00715E9B">
        <w:rPr>
          <w:rFonts w:ascii="Century Gothic" w:hAnsi="Century Gothic" w:cs="Arial"/>
          <w:sz w:val="24"/>
          <w:szCs w:val="24"/>
        </w:rPr>
        <w:t xml:space="preserve"> </w:t>
      </w:r>
      <w:r w:rsidR="00E10292" w:rsidRPr="00C238C4">
        <w:rPr>
          <w:rFonts w:ascii="Century Gothic" w:hAnsi="Century Gothic" w:cs="Arial"/>
          <w:sz w:val="24"/>
          <w:szCs w:val="24"/>
        </w:rPr>
        <w:t>l</w:t>
      </w:r>
      <w:r w:rsidR="00715E9B">
        <w:rPr>
          <w:rFonts w:ascii="Century Gothic" w:hAnsi="Century Gothic" w:cs="Arial"/>
          <w:sz w:val="24"/>
          <w:szCs w:val="24"/>
        </w:rPr>
        <w:t>a Ciudadanía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3F4CFD">
        <w:rPr>
          <w:rFonts w:ascii="Century Gothic" w:hAnsi="Century Gothic" w:cs="Arial"/>
          <w:sz w:val="24"/>
          <w:szCs w:val="24"/>
        </w:rPr>
        <w:t xml:space="preserve"> de este órgano jurisdiccional</w:t>
      </w:r>
      <w:r w:rsidR="006C5D65">
        <w:rPr>
          <w:rFonts w:ascii="Century Gothic" w:hAnsi="Century Gothic" w:cs="Arial"/>
          <w:sz w:val="24"/>
          <w:szCs w:val="24"/>
        </w:rPr>
        <w:t>,</w:t>
      </w:r>
      <w:r w:rsidR="008347B0">
        <w:rPr>
          <w:rFonts w:ascii="Century Gothic" w:hAnsi="Century Gothic" w:cs="Arial"/>
          <w:sz w:val="24"/>
          <w:szCs w:val="24"/>
        </w:rPr>
        <w:t xml:space="preserve"> </w:t>
      </w:r>
      <w:r w:rsidR="00AF2624">
        <w:rPr>
          <w:rFonts w:ascii="Century Gothic" w:hAnsi="Century Gothic" w:cs="Arial"/>
          <w:b/>
          <w:sz w:val="24"/>
          <w:szCs w:val="24"/>
        </w:rPr>
        <w:t>02 (dos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 xml:space="preserve">relativos a notificación de Tesis y Jurisprudencias y </w:t>
      </w:r>
      <w:r w:rsidR="00AF2624">
        <w:rPr>
          <w:rFonts w:ascii="Century Gothic" w:hAnsi="Century Gothic" w:cs="Arial"/>
          <w:b/>
          <w:sz w:val="24"/>
          <w:szCs w:val="24"/>
        </w:rPr>
        <w:t>06 (seis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>asuntos diversos.</w:t>
      </w:r>
    </w:p>
    <w:tbl>
      <w:tblPr>
        <w:tblpPr w:leftFromText="141" w:rightFromText="141" w:vertAnchor="text" w:horzAnchor="margin" w:tblpX="-719" w:tblpY="103"/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</w:tblGrid>
      <w:tr w:rsidR="008347B0" w:rsidRPr="00C238C4" w:rsidTr="008347B0">
        <w:trPr>
          <w:trHeight w:val="76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EXPEDIENTILLOS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AF2624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</w:tr>
      <w:tr w:rsidR="008347B0" w:rsidRPr="00C238C4" w:rsidTr="008347B0">
        <w:trPr>
          <w:trHeight w:val="7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JDC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AF2624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Notificación de Tesis y Jurisprudencias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AF2624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  <w:tr w:rsidR="008347B0" w:rsidRPr="00C238C4" w:rsidTr="008347B0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Default="00AF2624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06</w:t>
            </w:r>
          </w:p>
        </w:tc>
      </w:tr>
    </w:tbl>
    <w:p w:rsidR="00D34AAA" w:rsidRPr="003F4CFD" w:rsidRDefault="008347B0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4036F5E4" wp14:editId="1783FC01">
            <wp:simplePos x="0" y="0"/>
            <wp:positionH relativeFrom="margin">
              <wp:posOffset>2801248</wp:posOffset>
            </wp:positionH>
            <wp:positionV relativeFrom="paragraph">
              <wp:posOffset>63992</wp:posOffset>
            </wp:positionV>
            <wp:extent cx="2854960" cy="2362835"/>
            <wp:effectExtent l="0" t="0" r="2540" b="1841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D940B6" w:rsidRDefault="0016508E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29FC3" wp14:editId="4597E4BD">
                <wp:simplePos x="0" y="0"/>
                <wp:positionH relativeFrom="page">
                  <wp:posOffset>2673985</wp:posOffset>
                </wp:positionH>
                <wp:positionV relativeFrom="paragraph">
                  <wp:posOffset>1432560</wp:posOffset>
                </wp:positionV>
                <wp:extent cx="2828260" cy="57415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Li</w:t>
                            </w:r>
                            <w:r w:rsidR="00AF2624">
                              <w:rPr>
                                <w:rFonts w:ascii="Century Gothic" w:hAnsi="Century Gothic"/>
                                <w:b/>
                              </w:rPr>
                              <w:t>c. Juan Manuel García Peña</w:t>
                            </w:r>
                          </w:p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Oficial de Partes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9F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0.55pt;margin-top:112.8pt;width:222.7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" filled="f" stroked="f" strokeweight=".5pt">
                <v:textbox>
                  <w:txbxContent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Li</w:t>
                      </w:r>
                      <w:r w:rsidR="00AF2624">
                        <w:rPr>
                          <w:rFonts w:ascii="Century Gothic" w:hAnsi="Century Gothic"/>
                          <w:b/>
                        </w:rPr>
                        <w:t>c. Juan Manuel García Peña</w:t>
                      </w:r>
                    </w:p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Oficial de Partes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0B6" w:rsidRPr="00D940B6" w:rsidRDefault="00D940B6" w:rsidP="00D940B6"/>
    <w:p w:rsidR="00D940B6" w:rsidRPr="00D940B6" w:rsidRDefault="00D940B6" w:rsidP="00D940B6">
      <w:r w:rsidRPr="001D53A7"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5977D062" wp14:editId="648232EA">
            <wp:simplePos x="0" y="0"/>
            <wp:positionH relativeFrom="margin">
              <wp:posOffset>2249978</wp:posOffset>
            </wp:positionH>
            <wp:positionV relativeFrom="paragraph">
              <wp:posOffset>152804</wp:posOffset>
            </wp:positionV>
            <wp:extent cx="1714500" cy="10874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0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0B6" w:rsidRPr="00D940B6" w:rsidRDefault="00D940B6" w:rsidP="00D940B6"/>
    <w:p w:rsidR="00D940B6" w:rsidRDefault="00D940B6" w:rsidP="00D940B6"/>
    <w:p w:rsidR="009B133A" w:rsidRPr="00D940B6" w:rsidRDefault="00D940B6" w:rsidP="00D940B6">
      <w:pPr>
        <w:tabs>
          <w:tab w:val="left" w:pos="4931"/>
        </w:tabs>
      </w:pPr>
      <w:r>
        <w:tab/>
      </w:r>
    </w:p>
    <w:sectPr w:rsidR="009B133A" w:rsidRPr="00D940B6" w:rsidSect="008022AB">
      <w:headerReference w:type="default" r:id="rId10"/>
      <w:footerReference w:type="default" r:id="rId11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8E" w:rsidRDefault="0078038E" w:rsidP="00B06BD5">
      <w:pPr>
        <w:spacing w:after="0" w:line="240" w:lineRule="auto"/>
      </w:pPr>
      <w:r>
        <w:separator/>
      </w:r>
    </w:p>
  </w:endnote>
  <w:endnote w:type="continuationSeparator" w:id="0">
    <w:p w:rsidR="0078038E" w:rsidRDefault="0078038E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8E" w:rsidRDefault="0078038E" w:rsidP="00B06BD5">
      <w:pPr>
        <w:spacing w:after="0" w:line="240" w:lineRule="auto"/>
      </w:pPr>
      <w:r>
        <w:separator/>
      </w:r>
    </w:p>
  </w:footnote>
  <w:footnote w:type="continuationSeparator" w:id="0">
    <w:p w:rsidR="0078038E" w:rsidRDefault="0078038E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138F8"/>
    <w:rsid w:val="00085351"/>
    <w:rsid w:val="000A21E9"/>
    <w:rsid w:val="000A4F4F"/>
    <w:rsid w:val="00112FFE"/>
    <w:rsid w:val="0011681E"/>
    <w:rsid w:val="0013091E"/>
    <w:rsid w:val="00161BF2"/>
    <w:rsid w:val="0016508E"/>
    <w:rsid w:val="00186614"/>
    <w:rsid w:val="001B145C"/>
    <w:rsid w:val="001D1459"/>
    <w:rsid w:val="001F73C6"/>
    <w:rsid w:val="002321E4"/>
    <w:rsid w:val="00265F48"/>
    <w:rsid w:val="00270C73"/>
    <w:rsid w:val="002774B5"/>
    <w:rsid w:val="002804EC"/>
    <w:rsid w:val="003209D6"/>
    <w:rsid w:val="00327189"/>
    <w:rsid w:val="00351AC6"/>
    <w:rsid w:val="00352312"/>
    <w:rsid w:val="00382415"/>
    <w:rsid w:val="003D1F0C"/>
    <w:rsid w:val="003F4CFD"/>
    <w:rsid w:val="003F68CE"/>
    <w:rsid w:val="0043682A"/>
    <w:rsid w:val="00445BF5"/>
    <w:rsid w:val="00445F29"/>
    <w:rsid w:val="00454413"/>
    <w:rsid w:val="004572BA"/>
    <w:rsid w:val="00492AC0"/>
    <w:rsid w:val="004D12D4"/>
    <w:rsid w:val="00547909"/>
    <w:rsid w:val="005747F1"/>
    <w:rsid w:val="00605FE0"/>
    <w:rsid w:val="00616315"/>
    <w:rsid w:val="00623EF0"/>
    <w:rsid w:val="00664D7F"/>
    <w:rsid w:val="0069566B"/>
    <w:rsid w:val="006A3731"/>
    <w:rsid w:val="006B13D3"/>
    <w:rsid w:val="006C5D65"/>
    <w:rsid w:val="00707E86"/>
    <w:rsid w:val="00713652"/>
    <w:rsid w:val="00715E9B"/>
    <w:rsid w:val="00750F65"/>
    <w:rsid w:val="00772547"/>
    <w:rsid w:val="0078038E"/>
    <w:rsid w:val="007817F6"/>
    <w:rsid w:val="007A0114"/>
    <w:rsid w:val="007E1159"/>
    <w:rsid w:val="007F1666"/>
    <w:rsid w:val="008022AB"/>
    <w:rsid w:val="00807B38"/>
    <w:rsid w:val="00821B32"/>
    <w:rsid w:val="008347B0"/>
    <w:rsid w:val="008A3D8F"/>
    <w:rsid w:val="008B3294"/>
    <w:rsid w:val="008F5161"/>
    <w:rsid w:val="00901B3D"/>
    <w:rsid w:val="0091700F"/>
    <w:rsid w:val="00960369"/>
    <w:rsid w:val="00996ACD"/>
    <w:rsid w:val="009B133A"/>
    <w:rsid w:val="009C3E1E"/>
    <w:rsid w:val="009E4DCF"/>
    <w:rsid w:val="009F08FB"/>
    <w:rsid w:val="00A106E4"/>
    <w:rsid w:val="00A67948"/>
    <w:rsid w:val="00A83CF1"/>
    <w:rsid w:val="00A92DB9"/>
    <w:rsid w:val="00AA3A71"/>
    <w:rsid w:val="00AB4F22"/>
    <w:rsid w:val="00AC0789"/>
    <w:rsid w:val="00AC7544"/>
    <w:rsid w:val="00AD5696"/>
    <w:rsid w:val="00AF2624"/>
    <w:rsid w:val="00AF2807"/>
    <w:rsid w:val="00B062ED"/>
    <w:rsid w:val="00B06BD5"/>
    <w:rsid w:val="00B236B7"/>
    <w:rsid w:val="00B47EA1"/>
    <w:rsid w:val="00B51CEB"/>
    <w:rsid w:val="00B53359"/>
    <w:rsid w:val="00B82DF4"/>
    <w:rsid w:val="00BF3379"/>
    <w:rsid w:val="00BF7780"/>
    <w:rsid w:val="00C31066"/>
    <w:rsid w:val="00C335B0"/>
    <w:rsid w:val="00C35C85"/>
    <w:rsid w:val="00CA6664"/>
    <w:rsid w:val="00CB61CB"/>
    <w:rsid w:val="00CC713E"/>
    <w:rsid w:val="00CE2A6E"/>
    <w:rsid w:val="00D136B2"/>
    <w:rsid w:val="00D24B32"/>
    <w:rsid w:val="00D34AAA"/>
    <w:rsid w:val="00D60986"/>
    <w:rsid w:val="00D940B6"/>
    <w:rsid w:val="00DC26EE"/>
    <w:rsid w:val="00DC6B65"/>
    <w:rsid w:val="00E10292"/>
    <w:rsid w:val="00E57A4B"/>
    <w:rsid w:val="00E63339"/>
    <w:rsid w:val="00E73614"/>
    <w:rsid w:val="00E7461F"/>
    <w:rsid w:val="00E971AC"/>
    <w:rsid w:val="00EB64BE"/>
    <w:rsid w:val="00ED3FE7"/>
    <w:rsid w:val="00F02363"/>
    <w:rsid w:val="00F61FDE"/>
    <w:rsid w:val="00F67006"/>
    <w:rsid w:val="00F83A10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34461750672E-2"/>
          <c:y val="0.1868545064345589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9.4125093396172199E-2"/>
                  <c:y val="-0.1665600346965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-0.13267802747284327"/>
                  <c:y val="0.333971225730880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06951548939594"/>
                      <c:h val="0.23991056673471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15</c:v>
                </c:pt>
                <c:pt idx="1">
                  <c:v>9</c:v>
                </c:pt>
                <c:pt idx="2">
                  <c:v>17</c:v>
                </c:pt>
                <c:pt idx="3">
                  <c:v>59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784795583825E-2"/>
          <c:y val="0.21781165422045975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A4-48B7-8A06-255D85CC7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A4-48B7-8A06-255D85CC7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9A4-48B7-8A06-255D85CC7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9A4-48B7-8A06-255D85CC75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9A4-48B7-8A06-255D85CC75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9A4-48B7-8A06-255D85CC75AA}"/>
              </c:ext>
            </c:extLst>
          </c:dPt>
          <c:dLbls>
            <c:dLbl>
              <c:idx val="0"/>
              <c:layout>
                <c:manualLayout>
                  <c:x val="1.0395873724898126E-2"/>
                  <c:y val="-8.55814377102406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701039594252"/>
                      <c:h val="0.177357284787130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9A4-48B7-8A06-255D85CC75AA}"/>
                </c:ext>
              </c:extLst>
            </c:dLbl>
            <c:dLbl>
              <c:idx val="1"/>
              <c:layout>
                <c:manualLayout>
                  <c:x val="0.25426766049261634"/>
                  <c:y val="-0.102061295012135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4440132261047445"/>
                      <c:h val="0.14906880929053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A4-48B7-8A06-255D85CC75AA}"/>
                </c:ext>
              </c:extLst>
            </c:dLbl>
            <c:dLbl>
              <c:idx val="2"/>
              <c:layout>
                <c:manualLayout>
                  <c:x val="8.3713538420725694E-2"/>
                  <c:y val="-0.107111767112067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73169501497"/>
                      <c:h val="0.175465066329218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9A4-48B7-8A06-255D85CC75AA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9A4-48B7-8A06-255D85CC75AA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A9A4-48B7-8A06-255D85CC75AA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9A4-48B7-8A06-255D85CC7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3"/>
                <c:pt idx="0">
                  <c:v>JDC</c:v>
                </c:pt>
                <c:pt idx="1">
                  <c:v>NOTIFIACIONES</c:v>
                </c:pt>
                <c:pt idx="2">
                  <c:v>OTROS  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4-48B7-8A06-255D85CC75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97DB-EF33-4E2F-AE2F-DD062037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</cp:lastModifiedBy>
  <cp:revision>2</cp:revision>
  <cp:lastPrinted>2023-09-07T18:22:00Z</cp:lastPrinted>
  <dcterms:created xsi:type="dcterms:W3CDTF">2024-01-04T15:16:00Z</dcterms:created>
  <dcterms:modified xsi:type="dcterms:W3CDTF">2024-01-04T15:16:00Z</dcterms:modified>
</cp:coreProperties>
</file>