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C81F2C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ESTADÍSTICA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B51CEB">
        <w:rPr>
          <w:rFonts w:ascii="Century Gothic" w:hAnsi="Century Gothic" w:cs="Arial"/>
          <w:b/>
          <w:sz w:val="24"/>
          <w:szCs w:val="24"/>
        </w:rPr>
        <w:t>Mayo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6B13D3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2320290</wp:posOffset>
            </wp:positionH>
            <wp:positionV relativeFrom="paragraph">
              <wp:posOffset>2658110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proofErr w:type="gramStart"/>
      <w:r w:rsidR="00B51CEB">
        <w:rPr>
          <w:rFonts w:ascii="Century Gothic" w:hAnsi="Century Gothic" w:cs="Arial"/>
          <w:b/>
          <w:sz w:val="24"/>
          <w:szCs w:val="24"/>
        </w:rPr>
        <w:t>Mayo</w:t>
      </w:r>
      <w:proofErr w:type="gramEnd"/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B51CEB">
        <w:rPr>
          <w:rFonts w:ascii="Century Gothic" w:hAnsi="Century Gothic" w:cs="Arial"/>
          <w:b/>
          <w:sz w:val="24"/>
          <w:szCs w:val="24"/>
        </w:rPr>
        <w:t>99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B51CEB">
        <w:rPr>
          <w:rFonts w:ascii="Century Gothic" w:hAnsi="Century Gothic" w:cs="Arial"/>
          <w:b/>
          <w:sz w:val="24"/>
          <w:szCs w:val="24"/>
        </w:rPr>
        <w:t>noventa y nueve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F61FDE">
        <w:rPr>
          <w:rFonts w:ascii="Century Gothic" w:hAnsi="Century Gothic" w:cs="Arial"/>
          <w:b/>
          <w:sz w:val="24"/>
          <w:szCs w:val="24"/>
        </w:rPr>
        <w:t>0</w:t>
      </w:r>
      <w:r w:rsidR="00B51CEB">
        <w:rPr>
          <w:rFonts w:ascii="Century Gothic" w:hAnsi="Century Gothic" w:cs="Arial"/>
          <w:b/>
          <w:sz w:val="24"/>
          <w:szCs w:val="24"/>
        </w:rPr>
        <w:t>8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B51CEB">
        <w:rPr>
          <w:rFonts w:ascii="Century Gothic" w:hAnsi="Century Gothic" w:cs="Arial"/>
          <w:b/>
          <w:sz w:val="24"/>
          <w:szCs w:val="24"/>
        </w:rPr>
        <w:t>ocho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0</w:t>
      </w:r>
      <w:r w:rsidR="00B062ED">
        <w:rPr>
          <w:rFonts w:ascii="Century Gothic" w:hAnsi="Century Gothic" w:cs="Arial"/>
          <w:b/>
          <w:sz w:val="24"/>
          <w:szCs w:val="24"/>
        </w:rPr>
        <w:t>7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B062ED">
        <w:rPr>
          <w:rFonts w:ascii="Century Gothic" w:hAnsi="Century Gothic" w:cs="Arial"/>
          <w:b/>
          <w:sz w:val="24"/>
          <w:szCs w:val="24"/>
        </w:rPr>
        <w:t>siete) expedien</w:t>
      </w:r>
      <w:bookmarkStart w:id="0" w:name="_GoBack"/>
      <w:bookmarkEnd w:id="0"/>
      <w:r w:rsidR="00B062ED">
        <w:rPr>
          <w:rFonts w:ascii="Century Gothic" w:hAnsi="Century Gothic" w:cs="Arial"/>
          <w:b/>
          <w:sz w:val="24"/>
          <w:szCs w:val="24"/>
        </w:rPr>
        <w:t>tillos electorales, 15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B062ED">
        <w:rPr>
          <w:rFonts w:ascii="Century Gothic" w:hAnsi="Century Gothic" w:cs="Arial"/>
          <w:b/>
          <w:sz w:val="24"/>
          <w:szCs w:val="24"/>
        </w:rPr>
        <w:t>quince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C335B0">
        <w:rPr>
          <w:rFonts w:ascii="Century Gothic" w:hAnsi="Century Gothic" w:cs="Arial"/>
          <w:b/>
          <w:sz w:val="24"/>
          <w:szCs w:val="24"/>
        </w:rPr>
        <w:t>, 01 (uno) oficio dirigido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 a Contraloría</w:t>
      </w:r>
      <w:r w:rsidR="00C335B0">
        <w:rPr>
          <w:rFonts w:ascii="Century Gothic" w:hAnsi="Century Gothic" w:cs="Arial"/>
          <w:b/>
          <w:sz w:val="24"/>
          <w:szCs w:val="24"/>
        </w:rPr>
        <w:t>,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B062ED">
        <w:rPr>
          <w:rFonts w:ascii="Century Gothic" w:hAnsi="Century Gothic" w:cs="Arial"/>
          <w:b/>
          <w:bCs/>
          <w:sz w:val="24"/>
          <w:szCs w:val="24"/>
        </w:rPr>
        <w:t>69 (sesenta y nueve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 xml:space="preserve">ndo todas y cada una de ellas al área 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  <w:r>
        <w:rPr>
          <w:rFonts w:ascii="Century Gothic" w:hAnsi="Century Gothic" w:cs="Arial"/>
          <w:sz w:val="24"/>
          <w:szCs w:val="24"/>
        </w:rPr>
        <w:t xml:space="preserve">Nota: se hace la observación de que un medio de impugnación </w:t>
      </w:r>
      <w:r w:rsidR="00E7461F">
        <w:rPr>
          <w:rFonts w:ascii="Century Gothic" w:hAnsi="Century Gothic" w:cs="Arial"/>
          <w:sz w:val="24"/>
          <w:szCs w:val="24"/>
        </w:rPr>
        <w:t>se formó por Acuerdo Plenario con las Constancias originales de otro expediente</w:t>
      </w:r>
      <w:r>
        <w:rPr>
          <w:rFonts w:ascii="Century Gothic" w:hAnsi="Century Gothic" w:cs="Arial"/>
          <w:sz w:val="24"/>
          <w:szCs w:val="24"/>
        </w:rPr>
        <w:t>, razón por la cual no es considerado en el registro de correspondencia.</w:t>
      </w:r>
    </w:p>
    <w:tbl>
      <w:tblPr>
        <w:tblpPr w:leftFromText="141" w:rightFromText="141" w:vertAnchor="text" w:horzAnchor="margin" w:tblpX="-719" w:tblpY="103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812"/>
      </w:tblGrid>
      <w:tr w:rsidR="00445BF5" w:rsidRPr="00C238C4" w:rsidTr="006B13D3">
        <w:trPr>
          <w:trHeight w:val="939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B236B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ABRIL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D3FE7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445BF5" w:rsidRPr="00C238C4" w:rsidTr="006B13D3">
        <w:trPr>
          <w:trHeight w:val="94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D3FE7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8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D3FE7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7</w:t>
            </w:r>
          </w:p>
        </w:tc>
      </w:tr>
      <w:tr w:rsidR="007F1666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ED3FE7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15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ED3FE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</w:t>
            </w:r>
            <w:r w:rsidR="00ED3FE7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Contraloría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D3FE7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69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F68CE" w:rsidRDefault="003F68CE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1666" w:rsidRPr="00FB7402" w:rsidRDefault="00445BF5" w:rsidP="00E7461F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112FFE">
        <w:rPr>
          <w:rFonts w:ascii="Century Gothic" w:hAnsi="Century Gothic" w:cs="Arial"/>
          <w:b/>
          <w:sz w:val="24"/>
          <w:szCs w:val="24"/>
        </w:rPr>
        <w:t>7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112FFE">
        <w:rPr>
          <w:rFonts w:ascii="Century Gothic" w:hAnsi="Century Gothic" w:cs="Arial"/>
          <w:b/>
          <w:sz w:val="24"/>
          <w:szCs w:val="24"/>
        </w:rPr>
        <w:t>siete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Pr="00C238C4">
        <w:rPr>
          <w:rFonts w:ascii="Century Gothic" w:hAnsi="Century Gothic" w:cs="Arial"/>
          <w:sz w:val="24"/>
          <w:szCs w:val="24"/>
        </w:rPr>
        <w:t>Juicios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del Ciudadano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112FFE">
        <w:rPr>
          <w:rFonts w:ascii="Century Gothic" w:hAnsi="Century Gothic" w:cs="Arial"/>
          <w:b/>
          <w:sz w:val="24"/>
          <w:szCs w:val="24"/>
        </w:rPr>
        <w:t>01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112FFE">
        <w:rPr>
          <w:rFonts w:ascii="Century Gothic" w:hAnsi="Century Gothic" w:cs="Arial"/>
          <w:b/>
          <w:sz w:val="24"/>
          <w:szCs w:val="24"/>
        </w:rPr>
        <w:t>un</w:t>
      </w:r>
      <w:r w:rsidR="00352312">
        <w:rPr>
          <w:rFonts w:ascii="Century Gothic" w:hAnsi="Century Gothic" w:cs="Arial"/>
          <w:b/>
          <w:sz w:val="24"/>
          <w:szCs w:val="24"/>
        </w:rPr>
        <w:t>o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112FFE">
        <w:rPr>
          <w:rFonts w:ascii="Century Gothic" w:hAnsi="Century Gothic" w:cs="Arial"/>
          <w:sz w:val="24"/>
          <w:szCs w:val="24"/>
        </w:rPr>
        <w:t>Juicio Electoral</w:t>
      </w:r>
      <w:r w:rsidR="00352312">
        <w:rPr>
          <w:rFonts w:ascii="Century Gothic" w:hAnsi="Century Gothic" w:cs="Arial"/>
          <w:sz w:val="24"/>
          <w:szCs w:val="24"/>
        </w:rPr>
        <w:t>.</w:t>
      </w:r>
    </w:p>
    <w:p w:rsidR="00445BF5" w:rsidRPr="00265F48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proofErr w:type="gramStart"/>
      <w:r w:rsidR="00112FFE">
        <w:rPr>
          <w:rFonts w:ascii="Century Gothic" w:hAnsi="Century Gothic" w:cs="Arial"/>
          <w:b/>
          <w:sz w:val="24"/>
          <w:szCs w:val="24"/>
        </w:rPr>
        <w:t>Mayo</w:t>
      </w:r>
      <w:proofErr w:type="gramEnd"/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AF2807">
        <w:rPr>
          <w:rFonts w:ascii="Century Gothic" w:hAnsi="Century Gothic" w:cs="Arial"/>
          <w:b/>
          <w:sz w:val="24"/>
          <w:szCs w:val="24"/>
        </w:rPr>
        <w:t>0</w:t>
      </w:r>
      <w:r w:rsidR="00D34AAA">
        <w:rPr>
          <w:rFonts w:ascii="Century Gothic" w:hAnsi="Century Gothic" w:cs="Arial"/>
          <w:b/>
          <w:sz w:val="24"/>
          <w:szCs w:val="24"/>
        </w:rPr>
        <w:t>6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D34AAA">
        <w:rPr>
          <w:rFonts w:ascii="Century Gothic" w:hAnsi="Century Gothic" w:cs="Arial"/>
          <w:b/>
          <w:sz w:val="24"/>
          <w:szCs w:val="24"/>
        </w:rPr>
        <w:t>seis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 w:rsidR="00265F48">
        <w:rPr>
          <w:rFonts w:ascii="Century Gothic" w:hAnsi="Century Gothic" w:cs="Arial"/>
          <w:b/>
          <w:sz w:val="24"/>
          <w:szCs w:val="24"/>
        </w:rPr>
        <w:t>resoluci</w:t>
      </w:r>
      <w:r w:rsidR="00AF2807">
        <w:rPr>
          <w:rFonts w:ascii="Century Gothic" w:hAnsi="Century Gothic" w:cs="Arial"/>
          <w:b/>
          <w:sz w:val="24"/>
          <w:szCs w:val="24"/>
        </w:rPr>
        <w:t>ones</w:t>
      </w:r>
      <w:r w:rsidRPr="00C238C4">
        <w:rPr>
          <w:rFonts w:ascii="Century Gothic" w:hAnsi="Century Gothic" w:cs="Arial"/>
          <w:sz w:val="24"/>
          <w:szCs w:val="24"/>
        </w:rPr>
        <w:t>,</w:t>
      </w:r>
      <w:r w:rsidR="00D34AAA">
        <w:rPr>
          <w:rFonts w:ascii="Century Gothic" w:hAnsi="Century Gothic" w:cs="Arial"/>
          <w:sz w:val="24"/>
          <w:szCs w:val="24"/>
        </w:rPr>
        <w:t xml:space="preserve"> </w:t>
      </w:r>
      <w:r w:rsidR="00D34AAA">
        <w:rPr>
          <w:rFonts w:ascii="Century Gothic" w:hAnsi="Century Gothic" w:cs="Arial"/>
          <w:b/>
          <w:sz w:val="24"/>
          <w:szCs w:val="24"/>
        </w:rPr>
        <w:t>03 (tres)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265F48">
        <w:rPr>
          <w:rFonts w:ascii="Century Gothic" w:hAnsi="Century Gothic" w:cs="Arial"/>
          <w:sz w:val="24"/>
          <w:szCs w:val="24"/>
        </w:rPr>
        <w:t>relativa</w:t>
      </w:r>
      <w:r w:rsidR="00AF280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a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Juicio</w:t>
      </w:r>
      <w:r w:rsidR="0091700F">
        <w:rPr>
          <w:rFonts w:ascii="Century Gothic" w:hAnsi="Century Gothic" w:cs="Arial"/>
          <w:sz w:val="24"/>
          <w:szCs w:val="24"/>
        </w:rPr>
        <w:t>s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</w:t>
      </w:r>
      <w:r w:rsidR="00112FFE">
        <w:rPr>
          <w:rFonts w:ascii="Century Gothic" w:hAnsi="Century Gothic" w:cs="Arial"/>
          <w:sz w:val="24"/>
          <w:szCs w:val="24"/>
        </w:rPr>
        <w:t xml:space="preserve">, </w:t>
      </w:r>
      <w:r w:rsidR="00112FFE">
        <w:rPr>
          <w:rFonts w:ascii="Century Gothic" w:hAnsi="Century Gothic" w:cs="Arial"/>
          <w:b/>
          <w:sz w:val="24"/>
          <w:szCs w:val="24"/>
        </w:rPr>
        <w:t>01 (uno)</w:t>
      </w:r>
      <w:r w:rsidR="00D34AAA">
        <w:rPr>
          <w:rFonts w:ascii="Century Gothic" w:hAnsi="Century Gothic" w:cs="Arial"/>
          <w:b/>
          <w:sz w:val="24"/>
          <w:szCs w:val="24"/>
        </w:rPr>
        <w:t xml:space="preserve"> </w:t>
      </w:r>
      <w:r w:rsidR="00713652">
        <w:rPr>
          <w:rFonts w:ascii="Century Gothic" w:hAnsi="Century Gothic" w:cs="Arial"/>
          <w:sz w:val="24"/>
          <w:szCs w:val="24"/>
        </w:rPr>
        <w:t>relativa a Juicio Electoral,</w:t>
      </w:r>
      <w:r w:rsidR="00D34AAA">
        <w:rPr>
          <w:rFonts w:ascii="Century Gothic" w:hAnsi="Century Gothic" w:cs="Arial"/>
          <w:sz w:val="24"/>
          <w:szCs w:val="24"/>
        </w:rPr>
        <w:t xml:space="preserve"> </w:t>
      </w:r>
      <w:r w:rsidR="00D34AAA">
        <w:rPr>
          <w:rFonts w:ascii="Century Gothic" w:hAnsi="Century Gothic" w:cs="Arial"/>
          <w:b/>
          <w:sz w:val="24"/>
          <w:szCs w:val="24"/>
        </w:rPr>
        <w:t xml:space="preserve">02 (dos) </w:t>
      </w:r>
      <w:r w:rsidR="00D34AAA">
        <w:rPr>
          <w:rFonts w:ascii="Century Gothic" w:hAnsi="Century Gothic" w:cs="Arial"/>
          <w:sz w:val="24"/>
          <w:szCs w:val="24"/>
        </w:rPr>
        <w:t xml:space="preserve">relativas a Procedimiento Especial </w:t>
      </w:r>
      <w:r w:rsidR="00713652">
        <w:rPr>
          <w:rFonts w:ascii="Century Gothic" w:hAnsi="Century Gothic" w:cs="Arial"/>
          <w:sz w:val="24"/>
          <w:szCs w:val="24"/>
        </w:rPr>
        <w:t>Sancionador y</w:t>
      </w:r>
      <w:r w:rsidR="00D34AAA">
        <w:rPr>
          <w:rFonts w:ascii="Century Gothic" w:hAnsi="Century Gothic" w:cs="Arial"/>
          <w:b/>
          <w:sz w:val="24"/>
          <w:szCs w:val="24"/>
        </w:rPr>
        <w:t xml:space="preserve"> 04</w:t>
      </w:r>
      <w:r>
        <w:rPr>
          <w:rFonts w:ascii="Century Gothic" w:hAnsi="Century Gothic" w:cs="Arial"/>
          <w:b/>
          <w:sz w:val="24"/>
          <w:szCs w:val="24"/>
        </w:rPr>
        <w:t xml:space="preserve"> (</w:t>
      </w:r>
      <w:r w:rsidR="00D34AAA">
        <w:rPr>
          <w:rFonts w:ascii="Century Gothic" w:hAnsi="Century Gothic" w:cs="Arial"/>
          <w:b/>
          <w:sz w:val="24"/>
          <w:szCs w:val="24"/>
        </w:rPr>
        <w:t>cuatro</w:t>
      </w:r>
      <w:r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FB6F2E">
        <w:rPr>
          <w:rFonts w:ascii="Century Gothic" w:hAnsi="Century Gothic" w:cs="Arial"/>
          <w:sz w:val="24"/>
          <w:szCs w:val="24"/>
        </w:rPr>
        <w:t>Acuerdos P</w:t>
      </w:r>
      <w:r w:rsidR="00AF2807">
        <w:rPr>
          <w:rFonts w:ascii="Century Gothic" w:hAnsi="Century Gothic" w:cs="Arial"/>
          <w:sz w:val="24"/>
          <w:szCs w:val="24"/>
        </w:rPr>
        <w:t>lenarios.</w:t>
      </w:r>
    </w:p>
    <w:p w:rsidR="00445BF5" w:rsidRPr="00D34AAA" w:rsidRDefault="00265F48" w:rsidP="00D34AAA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</w:t>
      </w:r>
      <w:r w:rsidR="00D34AAA">
        <w:rPr>
          <w:rFonts w:ascii="Century Gothic" w:hAnsi="Century Gothic" w:cs="Arial"/>
          <w:b/>
          <w:sz w:val="24"/>
          <w:szCs w:val="24"/>
        </w:rPr>
        <w:t>7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D34AAA">
        <w:rPr>
          <w:rFonts w:ascii="Century Gothic" w:hAnsi="Century Gothic" w:cs="Arial"/>
          <w:b/>
          <w:sz w:val="24"/>
          <w:szCs w:val="24"/>
        </w:rPr>
        <w:t>siete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los cuales</w:t>
      </w:r>
      <w:r w:rsidR="001B145C">
        <w:rPr>
          <w:rFonts w:ascii="Century Gothic" w:hAnsi="Century Gothic" w:cs="Arial"/>
          <w:sz w:val="24"/>
          <w:szCs w:val="24"/>
        </w:rPr>
        <w:t xml:space="preserve"> corresponden 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D34AAA">
        <w:rPr>
          <w:rFonts w:ascii="Century Gothic" w:hAnsi="Century Gothic" w:cs="Arial"/>
          <w:b/>
          <w:sz w:val="24"/>
          <w:szCs w:val="24"/>
        </w:rPr>
        <w:t>04 (cuatro</w:t>
      </w:r>
      <w:r w:rsidR="00707E86" w:rsidRPr="00E10292">
        <w:rPr>
          <w:rFonts w:ascii="Century Gothic" w:hAnsi="Century Gothic" w:cs="Arial"/>
          <w:b/>
          <w:sz w:val="24"/>
          <w:szCs w:val="24"/>
        </w:rPr>
        <w:t>)</w:t>
      </w:r>
      <w:r w:rsidR="004572BA">
        <w:rPr>
          <w:rFonts w:ascii="Century Gothic" w:hAnsi="Century Gothic" w:cs="Arial"/>
          <w:sz w:val="24"/>
          <w:szCs w:val="24"/>
        </w:rPr>
        <w:t xml:space="preserve"> Notificaciones</w:t>
      </w:r>
      <w:r w:rsidR="00707E86">
        <w:rPr>
          <w:rFonts w:ascii="Century Gothic" w:hAnsi="Century Gothic" w:cs="Arial"/>
          <w:sz w:val="24"/>
          <w:szCs w:val="24"/>
        </w:rPr>
        <w:t xml:space="preserve"> electrónica</w:t>
      </w:r>
      <w:r w:rsidR="004572BA">
        <w:rPr>
          <w:rFonts w:ascii="Century Gothic" w:hAnsi="Century Gothic" w:cs="Arial"/>
          <w:sz w:val="24"/>
          <w:szCs w:val="24"/>
        </w:rPr>
        <w:t>s</w:t>
      </w:r>
      <w:r w:rsidR="00707E86">
        <w:rPr>
          <w:rFonts w:ascii="Century Gothic" w:hAnsi="Century Gothic" w:cs="Arial"/>
          <w:sz w:val="24"/>
          <w:szCs w:val="24"/>
        </w:rPr>
        <w:t>,</w:t>
      </w:r>
      <w:r w:rsidR="00E10292" w:rsidRPr="00E10292">
        <w:rPr>
          <w:rFonts w:ascii="Century Gothic" w:hAnsi="Century Gothic" w:cs="Arial"/>
          <w:b/>
          <w:sz w:val="24"/>
          <w:szCs w:val="24"/>
        </w:rPr>
        <w:t xml:space="preserve"> </w:t>
      </w:r>
      <w:r w:rsidR="003F4CFD">
        <w:rPr>
          <w:rFonts w:ascii="Century Gothic" w:hAnsi="Century Gothic" w:cs="Arial"/>
          <w:b/>
          <w:sz w:val="24"/>
          <w:szCs w:val="24"/>
        </w:rPr>
        <w:t>1</w:t>
      </w:r>
      <w:r w:rsidR="00E10292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3F4CFD">
        <w:rPr>
          <w:rFonts w:ascii="Century Gothic" w:hAnsi="Century Gothic" w:cs="Arial"/>
          <w:b/>
          <w:sz w:val="24"/>
          <w:szCs w:val="24"/>
        </w:rPr>
        <w:t>uno</w:t>
      </w:r>
      <w:r w:rsidR="00E10292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 </w:t>
      </w:r>
      <w:r w:rsidR="00E10292">
        <w:rPr>
          <w:rFonts w:ascii="Century Gothic" w:hAnsi="Century Gothic" w:cs="Arial"/>
          <w:sz w:val="24"/>
          <w:szCs w:val="24"/>
        </w:rPr>
        <w:t xml:space="preserve">en </w:t>
      </w:r>
      <w:r w:rsidR="00E10292" w:rsidRPr="00C238C4">
        <w:rPr>
          <w:rFonts w:ascii="Century Gothic" w:hAnsi="Century Gothic" w:cs="Arial"/>
          <w:sz w:val="24"/>
          <w:szCs w:val="24"/>
        </w:rPr>
        <w:t>contra</w:t>
      </w:r>
      <w:r w:rsidR="003F4CFD">
        <w:rPr>
          <w:rFonts w:ascii="Century Gothic" w:hAnsi="Century Gothic" w:cs="Arial"/>
          <w:sz w:val="24"/>
          <w:szCs w:val="24"/>
        </w:rPr>
        <w:t xml:space="preserve"> de este órgano jurisdiccional, </w:t>
      </w:r>
      <w:r w:rsidR="003F4CFD">
        <w:rPr>
          <w:rFonts w:ascii="Century Gothic" w:hAnsi="Century Gothic" w:cs="Arial"/>
          <w:b/>
          <w:sz w:val="24"/>
          <w:szCs w:val="24"/>
        </w:rPr>
        <w:t>1</w:t>
      </w:r>
      <w:r w:rsidR="003F4CFD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3F4CFD">
        <w:rPr>
          <w:rFonts w:ascii="Century Gothic" w:hAnsi="Century Gothic" w:cs="Arial"/>
          <w:b/>
          <w:sz w:val="24"/>
          <w:szCs w:val="24"/>
        </w:rPr>
        <w:t>uno</w:t>
      </w:r>
      <w:r w:rsidR="003F4CFD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3F4CF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D34AAA">
        <w:rPr>
          <w:rFonts w:ascii="Century Gothic" w:hAnsi="Century Gothic" w:cs="Arial"/>
          <w:bCs/>
          <w:sz w:val="24"/>
          <w:szCs w:val="24"/>
        </w:rPr>
        <w:t xml:space="preserve">relativo a excitativa de justicia y </w:t>
      </w:r>
      <w:r w:rsidR="00D34AAA">
        <w:rPr>
          <w:rFonts w:ascii="Century Gothic" w:hAnsi="Century Gothic" w:cs="Arial"/>
          <w:b/>
          <w:sz w:val="24"/>
          <w:szCs w:val="24"/>
        </w:rPr>
        <w:t>1</w:t>
      </w:r>
      <w:r w:rsidR="00D34AAA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D34AAA">
        <w:rPr>
          <w:rFonts w:ascii="Century Gothic" w:hAnsi="Century Gothic" w:cs="Arial"/>
          <w:b/>
          <w:sz w:val="24"/>
          <w:szCs w:val="24"/>
        </w:rPr>
        <w:t>uno</w:t>
      </w:r>
      <w:r w:rsidR="00D34AAA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D34AA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D34AAA">
        <w:rPr>
          <w:rFonts w:ascii="Century Gothic" w:hAnsi="Century Gothic" w:cs="Arial"/>
          <w:bCs/>
          <w:sz w:val="24"/>
          <w:szCs w:val="24"/>
        </w:rPr>
        <w:t>relativo a asuntos diversos.</w:t>
      </w:r>
    </w:p>
    <w:p w:rsidR="00D34AAA" w:rsidRPr="003F4CFD" w:rsidRDefault="00D34AAA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69587BE" wp14:editId="31853BFF">
            <wp:simplePos x="0" y="0"/>
            <wp:positionH relativeFrom="margin">
              <wp:posOffset>1994642</wp:posOffset>
            </wp:positionH>
            <wp:positionV relativeFrom="paragraph">
              <wp:posOffset>171367</wp:posOffset>
            </wp:positionV>
            <wp:extent cx="3810000" cy="2722880"/>
            <wp:effectExtent l="0" t="0" r="0" b="127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9333"/>
        <w:tblW w:w="2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78"/>
      </w:tblGrid>
      <w:tr w:rsidR="003F4CFD" w:rsidRPr="00C238C4" w:rsidTr="00D34AAA">
        <w:trPr>
          <w:trHeight w:val="385"/>
        </w:trPr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4CFD" w:rsidRPr="00C238C4" w:rsidRDefault="003F4CFD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Expedientillos</w:t>
            </w:r>
          </w:p>
        </w:tc>
      </w:tr>
      <w:tr w:rsidR="003F4CFD" w:rsidRPr="00C238C4" w:rsidTr="00D34AAA">
        <w:trPr>
          <w:trHeight w:val="38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4CFD" w:rsidRPr="00C238C4" w:rsidRDefault="003F4CFD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TOTAL: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CFD" w:rsidRPr="00C238C4" w:rsidRDefault="00D34AAA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07</w:t>
            </w:r>
          </w:p>
        </w:tc>
      </w:tr>
      <w:tr w:rsidR="003F4CFD" w:rsidRPr="00C238C4" w:rsidTr="00D34AAA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Pr="00C238C4" w:rsidRDefault="003F4CFD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JDC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Pr="00C238C4" w:rsidRDefault="00CB61CB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3F4CFD" w:rsidRPr="00C238C4" w:rsidTr="00D34AAA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Default="003F4CFD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Notificación Electrónica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Default="00D34AAA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D34AAA" w:rsidRPr="00C238C4" w:rsidTr="00D34AAA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AA" w:rsidRDefault="00D34AAA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Excitativa de Justicia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AA" w:rsidRDefault="00D34AAA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CB61CB" w:rsidRPr="00C238C4" w:rsidTr="00D34AAA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1CB" w:rsidRDefault="001D1459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otros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1CB" w:rsidRDefault="00D34AAA" w:rsidP="00D34AA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</w:tbl>
    <w:p w:rsidR="00E10292" w:rsidRPr="00465201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B133A" w:rsidRPr="005747F1" w:rsidRDefault="009B133A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sectPr w:rsidR="009B133A" w:rsidRPr="005747F1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5" w:rsidRDefault="00382415" w:rsidP="00B06BD5">
      <w:pPr>
        <w:spacing w:after="0" w:line="240" w:lineRule="auto"/>
      </w:pPr>
      <w:r>
        <w:separator/>
      </w:r>
    </w:p>
  </w:endnote>
  <w:end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5" w:rsidRDefault="00382415" w:rsidP="00B06BD5">
      <w:pPr>
        <w:spacing w:after="0" w:line="240" w:lineRule="auto"/>
      </w:pPr>
      <w:r>
        <w:separator/>
      </w:r>
    </w:p>
  </w:footnote>
  <w:foot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A21E9"/>
    <w:rsid w:val="00112FFE"/>
    <w:rsid w:val="0011681E"/>
    <w:rsid w:val="00161BF2"/>
    <w:rsid w:val="00186614"/>
    <w:rsid w:val="001B145C"/>
    <w:rsid w:val="001D1459"/>
    <w:rsid w:val="001F73C6"/>
    <w:rsid w:val="00265F48"/>
    <w:rsid w:val="00270C73"/>
    <w:rsid w:val="002774B5"/>
    <w:rsid w:val="003209D6"/>
    <w:rsid w:val="00351AC6"/>
    <w:rsid w:val="00352312"/>
    <w:rsid w:val="00382415"/>
    <w:rsid w:val="003D1F0C"/>
    <w:rsid w:val="003F4CFD"/>
    <w:rsid w:val="003F68CE"/>
    <w:rsid w:val="0043682A"/>
    <w:rsid w:val="00445BF5"/>
    <w:rsid w:val="004572BA"/>
    <w:rsid w:val="00547909"/>
    <w:rsid w:val="005747F1"/>
    <w:rsid w:val="00623EF0"/>
    <w:rsid w:val="00664D7F"/>
    <w:rsid w:val="0069566B"/>
    <w:rsid w:val="006A3731"/>
    <w:rsid w:val="006B13D3"/>
    <w:rsid w:val="00707E86"/>
    <w:rsid w:val="00713652"/>
    <w:rsid w:val="00750F65"/>
    <w:rsid w:val="00772547"/>
    <w:rsid w:val="007817F6"/>
    <w:rsid w:val="007A0114"/>
    <w:rsid w:val="007E1159"/>
    <w:rsid w:val="007F1666"/>
    <w:rsid w:val="008022AB"/>
    <w:rsid w:val="00807B38"/>
    <w:rsid w:val="00821B32"/>
    <w:rsid w:val="008B3294"/>
    <w:rsid w:val="008F5161"/>
    <w:rsid w:val="00901B3D"/>
    <w:rsid w:val="0091700F"/>
    <w:rsid w:val="00996ACD"/>
    <w:rsid w:val="009B133A"/>
    <w:rsid w:val="009C3E1E"/>
    <w:rsid w:val="009E4DCF"/>
    <w:rsid w:val="009F08FB"/>
    <w:rsid w:val="00A67948"/>
    <w:rsid w:val="00A83CF1"/>
    <w:rsid w:val="00A92DB9"/>
    <w:rsid w:val="00AA3A71"/>
    <w:rsid w:val="00AB4F22"/>
    <w:rsid w:val="00AC0789"/>
    <w:rsid w:val="00AC7544"/>
    <w:rsid w:val="00AD5696"/>
    <w:rsid w:val="00AF2807"/>
    <w:rsid w:val="00AF4009"/>
    <w:rsid w:val="00B062ED"/>
    <w:rsid w:val="00B06BD5"/>
    <w:rsid w:val="00B236B7"/>
    <w:rsid w:val="00B47EA1"/>
    <w:rsid w:val="00B51CEB"/>
    <w:rsid w:val="00B53359"/>
    <w:rsid w:val="00B82DF4"/>
    <w:rsid w:val="00BF3379"/>
    <w:rsid w:val="00BF7780"/>
    <w:rsid w:val="00C335B0"/>
    <w:rsid w:val="00C35C85"/>
    <w:rsid w:val="00C81F2C"/>
    <w:rsid w:val="00CB61CB"/>
    <w:rsid w:val="00CC713E"/>
    <w:rsid w:val="00D136B2"/>
    <w:rsid w:val="00D34AAA"/>
    <w:rsid w:val="00D60986"/>
    <w:rsid w:val="00DC26EE"/>
    <w:rsid w:val="00DC6B65"/>
    <w:rsid w:val="00E10292"/>
    <w:rsid w:val="00E57A4B"/>
    <w:rsid w:val="00E7461F"/>
    <w:rsid w:val="00ED3FE7"/>
    <w:rsid w:val="00F02363"/>
    <w:rsid w:val="00F61FDE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2C521E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4157034887062475"/>
                  <c:y val="1.19773325067092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1501686878556239"/>
                  <c:y val="0.201017675415104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Contraloría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15</c:v>
                </c:pt>
                <c:pt idx="3">
                  <c:v>69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29298398950131233"/>
          <c:y val="2.83266247502644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234148363033565E-2"/>
          <c:y val="0.164062683629098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60B-4C8E-AA85-86CC045709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60B-4C8E-AA85-86CC045709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DA7-4C70-A371-263F3573CE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68D-43E4-96A2-580292ABEF18}"/>
              </c:ext>
            </c:extLst>
          </c:dPt>
          <c:dLbls>
            <c:dLbl>
              <c:idx val="0"/>
              <c:layout>
                <c:manualLayout>
                  <c:x val="-6.6666666666666671E-3"/>
                  <c:y val="2.5835145140439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561787232736253"/>
                      <c:h val="0.14132132154189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60B-4C8E-AA85-86CC045709EC}"/>
                </c:ext>
              </c:extLst>
            </c:dLbl>
            <c:dLbl>
              <c:idx val="1"/>
              <c:layout>
                <c:manualLayout>
                  <c:x val="9.0131233595800516E-4"/>
                  <c:y val="7.04529762604301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949168168503605"/>
                      <c:h val="0.210595739632043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60B-4C8E-AA85-86CC045709EC}"/>
                </c:ext>
              </c:extLst>
            </c:dLbl>
            <c:dLbl>
              <c:idx val="2"/>
              <c:layout>
                <c:manualLayout>
                  <c:x val="1.3333333333333334E-2"/>
                  <c:y val="-5.59701492537313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DA7-4C70-A371-263F3573CE57}"/>
                </c:ext>
              </c:extLst>
            </c:dLbl>
            <c:dLbl>
              <c:idx val="3"/>
              <c:layout>
                <c:manualLayout>
                  <c:x val="0.10333346456692913"/>
                  <c:y val="1.836290986014807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444429095485872"/>
                      <c:h val="0.14937051944999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68D-43E4-96A2-580292ABEF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Correspondencia!$A$3:$A$6</c:f>
              <c:strCache>
                <c:ptCount val="4"/>
                <c:pt idx="0">
                  <c:v>JDC</c:v>
                </c:pt>
                <c:pt idx="1">
                  <c:v>Notificación Electronica</c:v>
                </c:pt>
                <c:pt idx="2">
                  <c:v>Excitativa de Justicia</c:v>
                </c:pt>
                <c:pt idx="3">
                  <c:v>Otro </c:v>
                </c:pt>
              </c:strCache>
            </c:strRef>
          </c:cat>
          <c:val>
            <c:numRef>
              <c:f>Correspondencia!$B$3:$B$6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60B-4C8E-AA85-86CC045709E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35FF-8DE5-4448-B48F-52D8B14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Jaqueline</cp:lastModifiedBy>
  <cp:revision>3</cp:revision>
  <cp:lastPrinted>2023-05-02T14:45:00Z</cp:lastPrinted>
  <dcterms:created xsi:type="dcterms:W3CDTF">2023-06-09T15:57:00Z</dcterms:created>
  <dcterms:modified xsi:type="dcterms:W3CDTF">2023-06-09T15:57:00Z</dcterms:modified>
</cp:coreProperties>
</file>