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445BF5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>INFORME MENSUAL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F61FDE">
        <w:rPr>
          <w:rFonts w:ascii="Century Gothic" w:hAnsi="Century Gothic" w:cs="Arial"/>
          <w:b/>
          <w:sz w:val="24"/>
          <w:szCs w:val="24"/>
        </w:rPr>
        <w:t>Febrero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445BF5" w:rsidP="00FB7402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Febrero </w:t>
      </w:r>
      <w:r w:rsidR="00F61FDE">
        <w:rPr>
          <w:rFonts w:ascii="Century Gothic" w:hAnsi="Century Gothic" w:cs="Arial"/>
          <w:sz w:val="24"/>
          <w:szCs w:val="24"/>
        </w:rPr>
        <w:t>se r</w:t>
      </w:r>
      <w:r w:rsidRPr="00C238C4">
        <w:rPr>
          <w:rFonts w:ascii="Century Gothic" w:hAnsi="Century Gothic" w:cs="Arial"/>
          <w:sz w:val="24"/>
          <w:szCs w:val="24"/>
        </w:rPr>
        <w:t>ecibió un total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F61FDE">
        <w:rPr>
          <w:rFonts w:ascii="Century Gothic" w:hAnsi="Century Gothic" w:cs="Arial"/>
          <w:b/>
          <w:sz w:val="24"/>
          <w:szCs w:val="24"/>
        </w:rPr>
        <w:t>8</w:t>
      </w:r>
      <w:r>
        <w:rPr>
          <w:rFonts w:ascii="Century Gothic" w:hAnsi="Century Gothic" w:cs="Arial"/>
          <w:b/>
          <w:sz w:val="24"/>
          <w:szCs w:val="24"/>
        </w:rPr>
        <w:t>5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F61FDE">
        <w:rPr>
          <w:rFonts w:ascii="Century Gothic" w:hAnsi="Century Gothic" w:cs="Arial"/>
          <w:b/>
          <w:sz w:val="24"/>
          <w:szCs w:val="24"/>
        </w:rPr>
        <w:t>ochenta</w:t>
      </w:r>
      <w:r>
        <w:rPr>
          <w:rFonts w:ascii="Century Gothic" w:hAnsi="Century Gothic" w:cs="Arial"/>
          <w:b/>
          <w:sz w:val="24"/>
          <w:szCs w:val="24"/>
        </w:rPr>
        <w:t xml:space="preserve"> y cinco</w:t>
      </w:r>
      <w:r w:rsidRPr="00C238C4"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06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(</w:t>
      </w:r>
      <w:r w:rsidR="00F61FDE">
        <w:rPr>
          <w:rFonts w:ascii="Century Gothic" w:hAnsi="Century Gothic" w:cs="Arial"/>
          <w:b/>
          <w:sz w:val="24"/>
          <w:szCs w:val="24"/>
        </w:rPr>
        <w:t>seis</w:t>
      </w:r>
      <w:r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Pr="00C238C4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F61FDE">
        <w:rPr>
          <w:rFonts w:ascii="Century Gothic" w:hAnsi="Century Gothic" w:cs="Arial"/>
          <w:b/>
          <w:sz w:val="24"/>
          <w:szCs w:val="24"/>
        </w:rPr>
        <w:t>6 (seis) expedientillos electorales, 18 (dieciocho</w:t>
      </w:r>
      <w:r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Pr="00C238C4">
        <w:rPr>
          <w:rFonts w:ascii="Century Gothic" w:hAnsi="Century Gothic" w:cs="Arial"/>
          <w:sz w:val="24"/>
          <w:szCs w:val="24"/>
        </w:rPr>
        <w:t xml:space="preserve"> y las restantes </w:t>
      </w:r>
      <w:r w:rsidR="00FB7402">
        <w:rPr>
          <w:rFonts w:ascii="Century Gothic" w:hAnsi="Century Gothic" w:cs="Arial"/>
          <w:b/>
          <w:sz w:val="24"/>
          <w:szCs w:val="24"/>
        </w:rPr>
        <w:t>56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FB7402">
        <w:rPr>
          <w:rFonts w:ascii="Century Gothic" w:hAnsi="Century Gothic" w:cs="Arial"/>
          <w:b/>
          <w:bCs/>
          <w:sz w:val="24"/>
          <w:szCs w:val="24"/>
        </w:rPr>
        <w:t>cincuenta y seis</w:t>
      </w:r>
      <w:r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Remitiendo todas y cada una de ellas a Secretaría de Acuer</w:t>
      </w:r>
      <w:r w:rsidR="00FB7402">
        <w:rPr>
          <w:rFonts w:ascii="Century Gothic" w:hAnsi="Century Gothic" w:cs="Arial"/>
          <w:sz w:val="24"/>
          <w:szCs w:val="24"/>
        </w:rPr>
        <w:t xml:space="preserve">dos para su respectivo trámite. Nota: se hace la observación de que un medio de impugnación fue resultado de </w:t>
      </w:r>
      <w:r w:rsidR="0091700F">
        <w:rPr>
          <w:rFonts w:ascii="Century Gothic" w:hAnsi="Century Gothic" w:cs="Arial"/>
          <w:sz w:val="24"/>
          <w:szCs w:val="24"/>
        </w:rPr>
        <w:t>la</w:t>
      </w:r>
      <w:r w:rsidR="00FB7402">
        <w:rPr>
          <w:rFonts w:ascii="Century Gothic" w:hAnsi="Century Gothic" w:cs="Arial"/>
          <w:sz w:val="24"/>
          <w:szCs w:val="24"/>
        </w:rPr>
        <w:t xml:space="preserve"> escisión de un escrito, razón por la cual no es considerado en el registro de correspondencia.</w:t>
      </w:r>
    </w:p>
    <w:tbl>
      <w:tblPr>
        <w:tblpPr w:leftFromText="141" w:rightFromText="141" w:vertAnchor="text" w:horzAnchor="margin" w:tblpY="103"/>
        <w:tblW w:w="3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120"/>
      </w:tblGrid>
      <w:tr w:rsidR="00445BF5" w:rsidRPr="00C238C4" w:rsidTr="003D407A">
        <w:trPr>
          <w:trHeight w:val="939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FB7402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FEBRERO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3D407A">
        <w:trPr>
          <w:trHeight w:val="93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B7402" w:rsidP="003D407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8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45BF5" w:rsidRPr="00C238C4" w:rsidTr="003D407A">
        <w:trPr>
          <w:trHeight w:val="94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B7402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6</w:t>
            </w:r>
          </w:p>
        </w:tc>
      </w:tr>
      <w:tr w:rsidR="00445BF5" w:rsidRPr="00C238C4" w:rsidTr="003D407A">
        <w:trPr>
          <w:trHeight w:val="939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B7402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6</w:t>
            </w:r>
          </w:p>
        </w:tc>
      </w:tr>
      <w:tr w:rsidR="007F1666" w:rsidRPr="00C238C4" w:rsidTr="003D407A">
        <w:trPr>
          <w:trHeight w:val="814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FB7402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18</w:t>
            </w:r>
          </w:p>
        </w:tc>
      </w:tr>
      <w:tr w:rsidR="00445BF5" w:rsidRPr="00C238C4" w:rsidTr="003D407A">
        <w:trPr>
          <w:trHeight w:val="814"/>
        </w:trPr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FB7402" w:rsidP="003D407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56</w:t>
            </w:r>
          </w:p>
        </w:tc>
      </w:tr>
      <w:tr w:rsidR="00445BF5" w:rsidRPr="00C238C4" w:rsidTr="003D407A">
        <w:trPr>
          <w:trHeight w:val="814"/>
        </w:trPr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3D407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3D407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45BF5" w:rsidRPr="00C238C4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3DA5B2D" wp14:editId="5AE8A04B">
            <wp:simplePos x="0" y="0"/>
            <wp:positionH relativeFrom="margin">
              <wp:posOffset>2554605</wp:posOffset>
            </wp:positionH>
            <wp:positionV relativeFrom="paragraph">
              <wp:posOffset>218440</wp:posOffset>
            </wp:positionV>
            <wp:extent cx="3561080" cy="3375025"/>
            <wp:effectExtent l="0" t="0" r="1270" b="158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445BF5">
      <w:pPr>
        <w:jc w:val="both"/>
        <w:rPr>
          <w:rFonts w:ascii="Century Gothic" w:hAnsi="Century Gothic" w:cs="Arial"/>
          <w:sz w:val="24"/>
          <w:szCs w:val="24"/>
        </w:rPr>
      </w:pPr>
    </w:p>
    <w:p w:rsidR="00445BF5" w:rsidRDefault="00445BF5" w:rsidP="00FB740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1666" w:rsidRPr="00FB7402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7F1666">
        <w:rPr>
          <w:rFonts w:ascii="Century Gothic" w:hAnsi="Century Gothic" w:cs="Arial"/>
          <w:b/>
          <w:sz w:val="24"/>
          <w:szCs w:val="24"/>
        </w:rPr>
        <w:t>05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7F1666">
        <w:rPr>
          <w:rFonts w:ascii="Century Gothic" w:hAnsi="Century Gothic" w:cs="Arial"/>
          <w:b/>
          <w:sz w:val="24"/>
          <w:szCs w:val="24"/>
        </w:rPr>
        <w:t>cinco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Pr="00C238C4">
        <w:rPr>
          <w:rFonts w:ascii="Century Gothic" w:hAnsi="Century Gothic" w:cs="Arial"/>
          <w:sz w:val="24"/>
          <w:szCs w:val="24"/>
        </w:rPr>
        <w:t>Juicios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del Ciudadano</w:t>
      </w:r>
      <w:r w:rsidR="00FB7402">
        <w:rPr>
          <w:rFonts w:ascii="Century Gothic" w:hAnsi="Century Gothic" w:cs="Arial"/>
          <w:sz w:val="24"/>
          <w:szCs w:val="24"/>
        </w:rPr>
        <w:t xml:space="preserve">, y </w:t>
      </w:r>
      <w:r w:rsidR="00FB7402">
        <w:rPr>
          <w:rFonts w:ascii="Century Gothic" w:hAnsi="Century Gothic" w:cs="Arial"/>
          <w:b/>
          <w:sz w:val="24"/>
          <w:szCs w:val="24"/>
        </w:rPr>
        <w:t xml:space="preserve">01 (uno) </w:t>
      </w:r>
      <w:r w:rsidR="00FB7402">
        <w:rPr>
          <w:rFonts w:ascii="Century Gothic" w:hAnsi="Century Gothic" w:cs="Arial"/>
          <w:sz w:val="24"/>
          <w:szCs w:val="24"/>
        </w:rPr>
        <w:t>Juicio Electoral.</w:t>
      </w:r>
    </w:p>
    <w:p w:rsidR="00445BF5" w:rsidRPr="00265F48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proofErr w:type="gramStart"/>
      <w:r w:rsidR="00FB7402">
        <w:rPr>
          <w:rFonts w:ascii="Century Gothic" w:hAnsi="Century Gothic" w:cs="Arial"/>
          <w:b/>
          <w:sz w:val="24"/>
          <w:szCs w:val="24"/>
        </w:rPr>
        <w:t>Febrero</w:t>
      </w:r>
      <w:proofErr w:type="gramEnd"/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AF2807">
        <w:rPr>
          <w:rFonts w:ascii="Century Gothic" w:hAnsi="Century Gothic" w:cs="Arial"/>
          <w:b/>
          <w:sz w:val="24"/>
          <w:szCs w:val="24"/>
        </w:rPr>
        <w:t>02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AF2807">
        <w:rPr>
          <w:rFonts w:ascii="Century Gothic" w:hAnsi="Century Gothic" w:cs="Arial"/>
          <w:b/>
          <w:sz w:val="24"/>
          <w:szCs w:val="24"/>
        </w:rPr>
        <w:t>dos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 w:rsidR="00265F48">
        <w:rPr>
          <w:rFonts w:ascii="Century Gothic" w:hAnsi="Century Gothic" w:cs="Arial"/>
          <w:b/>
          <w:sz w:val="24"/>
          <w:szCs w:val="24"/>
        </w:rPr>
        <w:t>resoluci</w:t>
      </w:r>
      <w:r w:rsidR="00AF2807">
        <w:rPr>
          <w:rFonts w:ascii="Century Gothic" w:hAnsi="Century Gothic" w:cs="Arial"/>
          <w:b/>
          <w:sz w:val="24"/>
          <w:szCs w:val="24"/>
        </w:rPr>
        <w:t>ones</w:t>
      </w:r>
      <w:r w:rsidRPr="00C238C4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265F48">
        <w:rPr>
          <w:rFonts w:ascii="Century Gothic" w:hAnsi="Century Gothic" w:cs="Arial"/>
          <w:sz w:val="24"/>
          <w:szCs w:val="24"/>
        </w:rPr>
        <w:t>relativa</w:t>
      </w:r>
      <w:r w:rsidR="00AF280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a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Juicio</w:t>
      </w:r>
      <w:r w:rsidR="0091700F">
        <w:rPr>
          <w:rFonts w:ascii="Century Gothic" w:hAnsi="Century Gothic" w:cs="Arial"/>
          <w:sz w:val="24"/>
          <w:szCs w:val="24"/>
        </w:rPr>
        <w:t>s</w:t>
      </w:r>
      <w:bookmarkStart w:id="0" w:name="_GoBack"/>
      <w:bookmarkEnd w:id="0"/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</w:t>
      </w:r>
      <w:r>
        <w:rPr>
          <w:rFonts w:ascii="Century Gothic" w:hAnsi="Century Gothic" w:cs="Arial"/>
          <w:sz w:val="24"/>
          <w:szCs w:val="24"/>
        </w:rPr>
        <w:t>,</w:t>
      </w:r>
      <w:r w:rsidRPr="00C238C4">
        <w:rPr>
          <w:rFonts w:ascii="Century Gothic" w:hAnsi="Century Gothic" w:cs="Arial"/>
          <w:sz w:val="24"/>
          <w:szCs w:val="24"/>
        </w:rPr>
        <w:t xml:space="preserve"> así como </w:t>
      </w:r>
      <w:r w:rsidR="00AF2807">
        <w:rPr>
          <w:rFonts w:ascii="Century Gothic" w:hAnsi="Century Gothic" w:cs="Arial"/>
          <w:b/>
          <w:sz w:val="24"/>
          <w:szCs w:val="24"/>
        </w:rPr>
        <w:t>09</w:t>
      </w:r>
      <w:r>
        <w:rPr>
          <w:rFonts w:ascii="Century Gothic" w:hAnsi="Century Gothic" w:cs="Arial"/>
          <w:b/>
          <w:sz w:val="24"/>
          <w:szCs w:val="24"/>
        </w:rPr>
        <w:t xml:space="preserve"> (</w:t>
      </w:r>
      <w:r w:rsidR="00AF2807">
        <w:rPr>
          <w:rFonts w:ascii="Century Gothic" w:hAnsi="Century Gothic" w:cs="Arial"/>
          <w:b/>
          <w:sz w:val="24"/>
          <w:szCs w:val="24"/>
        </w:rPr>
        <w:t>nueve</w:t>
      </w:r>
      <w:r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AF2807">
        <w:rPr>
          <w:rFonts w:ascii="Century Gothic" w:hAnsi="Century Gothic" w:cs="Arial"/>
          <w:sz w:val="24"/>
          <w:szCs w:val="24"/>
        </w:rPr>
        <w:t>acuerdos plenarios.</w:t>
      </w:r>
    </w:p>
    <w:p w:rsidR="00445BF5" w:rsidRDefault="00265F48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AF2807">
        <w:rPr>
          <w:rFonts w:ascii="Century Gothic" w:hAnsi="Century Gothic" w:cs="Arial"/>
          <w:b/>
          <w:sz w:val="24"/>
          <w:szCs w:val="24"/>
        </w:rPr>
        <w:t>6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AF2807">
        <w:rPr>
          <w:rFonts w:ascii="Century Gothic" w:hAnsi="Century Gothic" w:cs="Arial"/>
          <w:b/>
          <w:sz w:val="24"/>
          <w:szCs w:val="24"/>
        </w:rPr>
        <w:t>seis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los cuales</w:t>
      </w:r>
      <w:r w:rsidR="001B145C">
        <w:rPr>
          <w:rFonts w:ascii="Century Gothic" w:hAnsi="Century Gothic" w:cs="Arial"/>
          <w:sz w:val="24"/>
          <w:szCs w:val="24"/>
        </w:rPr>
        <w:t xml:space="preserve"> corresponden 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4572BA">
        <w:rPr>
          <w:rFonts w:ascii="Century Gothic" w:hAnsi="Century Gothic" w:cs="Arial"/>
          <w:b/>
          <w:sz w:val="24"/>
          <w:szCs w:val="24"/>
        </w:rPr>
        <w:t>03 (tres</w:t>
      </w:r>
      <w:r w:rsidR="00707E86" w:rsidRPr="00E10292">
        <w:rPr>
          <w:rFonts w:ascii="Century Gothic" w:hAnsi="Century Gothic" w:cs="Arial"/>
          <w:b/>
          <w:sz w:val="24"/>
          <w:szCs w:val="24"/>
        </w:rPr>
        <w:t>)</w:t>
      </w:r>
      <w:r w:rsidR="004572BA">
        <w:rPr>
          <w:rFonts w:ascii="Century Gothic" w:hAnsi="Century Gothic" w:cs="Arial"/>
          <w:sz w:val="24"/>
          <w:szCs w:val="24"/>
        </w:rPr>
        <w:t xml:space="preserve"> Notificaciones</w:t>
      </w:r>
      <w:r w:rsidR="00707E86">
        <w:rPr>
          <w:rFonts w:ascii="Century Gothic" w:hAnsi="Century Gothic" w:cs="Arial"/>
          <w:sz w:val="24"/>
          <w:szCs w:val="24"/>
        </w:rPr>
        <w:t xml:space="preserve"> electrónica</w:t>
      </w:r>
      <w:r w:rsidR="004572BA">
        <w:rPr>
          <w:rFonts w:ascii="Century Gothic" w:hAnsi="Century Gothic" w:cs="Arial"/>
          <w:sz w:val="24"/>
          <w:szCs w:val="24"/>
        </w:rPr>
        <w:t>s</w:t>
      </w:r>
      <w:r w:rsidR="00707E86">
        <w:rPr>
          <w:rFonts w:ascii="Century Gothic" w:hAnsi="Century Gothic" w:cs="Arial"/>
          <w:sz w:val="24"/>
          <w:szCs w:val="24"/>
        </w:rPr>
        <w:t>,</w:t>
      </w:r>
      <w:r w:rsidR="00E10292" w:rsidRPr="00E10292">
        <w:rPr>
          <w:rFonts w:ascii="Century Gothic" w:hAnsi="Century Gothic" w:cs="Arial"/>
          <w:b/>
          <w:sz w:val="24"/>
          <w:szCs w:val="24"/>
        </w:rPr>
        <w:t xml:space="preserve"> </w:t>
      </w:r>
      <w:r w:rsidR="00E10292">
        <w:rPr>
          <w:rFonts w:ascii="Century Gothic" w:hAnsi="Century Gothic" w:cs="Arial"/>
          <w:b/>
          <w:sz w:val="24"/>
          <w:szCs w:val="24"/>
        </w:rPr>
        <w:t>3</w:t>
      </w:r>
      <w:r w:rsidR="00E10292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E10292">
        <w:rPr>
          <w:rFonts w:ascii="Century Gothic" w:hAnsi="Century Gothic" w:cs="Arial"/>
          <w:b/>
          <w:sz w:val="24"/>
          <w:szCs w:val="24"/>
        </w:rPr>
        <w:t>tres</w:t>
      </w:r>
      <w:r w:rsidR="00E10292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E10292">
        <w:rPr>
          <w:rFonts w:ascii="Century Gothic" w:hAnsi="Century Gothic" w:cs="Arial"/>
          <w:sz w:val="24"/>
          <w:szCs w:val="24"/>
        </w:rPr>
        <w:t xml:space="preserve"> de este órgano jurisdiccional.</w:t>
      </w:r>
    </w:p>
    <w:p w:rsidR="00E10292" w:rsidRPr="00465201" w:rsidRDefault="00E10292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vertAnchor="page" w:horzAnchor="margin" w:tblpY="7927"/>
        <w:tblW w:w="2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78"/>
      </w:tblGrid>
      <w:tr w:rsidR="00E10292" w:rsidRPr="00C238C4" w:rsidTr="00E10292">
        <w:trPr>
          <w:trHeight w:val="385"/>
        </w:trPr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Expedientillos</w:t>
            </w:r>
          </w:p>
        </w:tc>
      </w:tr>
      <w:tr w:rsidR="00E10292" w:rsidRPr="00C238C4" w:rsidTr="00E10292">
        <w:trPr>
          <w:trHeight w:val="38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TOTAL: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92" w:rsidRPr="00C238C4" w:rsidRDefault="004572BA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06</w:t>
            </w:r>
          </w:p>
        </w:tc>
      </w:tr>
      <w:tr w:rsidR="00E10292" w:rsidRPr="00C238C4" w:rsidTr="00E10292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JDC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Pr="00C238C4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10292" w:rsidRPr="00C238C4" w:rsidTr="00E10292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Default="00E10292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Notificación Electrónica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292" w:rsidRDefault="004572BA" w:rsidP="00E102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</w:tbl>
    <w:p w:rsidR="00445BF5" w:rsidRPr="00C238C4" w:rsidRDefault="00E10292" w:rsidP="00445BF5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E661B0A" wp14:editId="2E283BCE">
            <wp:simplePos x="0" y="0"/>
            <wp:positionH relativeFrom="margin">
              <wp:posOffset>2657475</wp:posOffset>
            </wp:positionH>
            <wp:positionV relativeFrom="paragraph">
              <wp:posOffset>4445</wp:posOffset>
            </wp:positionV>
            <wp:extent cx="2999105" cy="2318385"/>
            <wp:effectExtent l="0" t="0" r="10795" b="571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9B133A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sectPr w:rsidR="009B133A" w:rsidRPr="005747F1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5" w:rsidRDefault="00382415" w:rsidP="00B06BD5">
      <w:pPr>
        <w:spacing w:after="0" w:line="240" w:lineRule="auto"/>
      </w:pPr>
      <w:r>
        <w:separator/>
      </w:r>
    </w:p>
  </w:endnote>
  <w:end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5" w:rsidRDefault="00382415" w:rsidP="00B06BD5">
      <w:pPr>
        <w:spacing w:after="0" w:line="240" w:lineRule="auto"/>
      </w:pPr>
      <w:r>
        <w:separator/>
      </w:r>
    </w:p>
  </w:footnote>
  <w:foot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11681E"/>
    <w:rsid w:val="00161BF2"/>
    <w:rsid w:val="00186614"/>
    <w:rsid w:val="001B145C"/>
    <w:rsid w:val="001F73C6"/>
    <w:rsid w:val="00265F48"/>
    <w:rsid w:val="00270C73"/>
    <w:rsid w:val="002774B5"/>
    <w:rsid w:val="00382415"/>
    <w:rsid w:val="00445BF5"/>
    <w:rsid w:val="004572BA"/>
    <w:rsid w:val="00547909"/>
    <w:rsid w:val="005747F1"/>
    <w:rsid w:val="00623EF0"/>
    <w:rsid w:val="00664D7F"/>
    <w:rsid w:val="0069566B"/>
    <w:rsid w:val="006A3731"/>
    <w:rsid w:val="00707E86"/>
    <w:rsid w:val="00750F65"/>
    <w:rsid w:val="00772547"/>
    <w:rsid w:val="007A0114"/>
    <w:rsid w:val="007F1666"/>
    <w:rsid w:val="008022AB"/>
    <w:rsid w:val="00807B38"/>
    <w:rsid w:val="00821B32"/>
    <w:rsid w:val="008F5161"/>
    <w:rsid w:val="00901B3D"/>
    <w:rsid w:val="0091700F"/>
    <w:rsid w:val="00996ACD"/>
    <w:rsid w:val="009B133A"/>
    <w:rsid w:val="009F08FB"/>
    <w:rsid w:val="00A67948"/>
    <w:rsid w:val="00A83CF1"/>
    <w:rsid w:val="00A92DB9"/>
    <w:rsid w:val="00AA3A71"/>
    <w:rsid w:val="00AB4F22"/>
    <w:rsid w:val="00AC0789"/>
    <w:rsid w:val="00AD5696"/>
    <w:rsid w:val="00AF2807"/>
    <w:rsid w:val="00B06BD5"/>
    <w:rsid w:val="00B47EA1"/>
    <w:rsid w:val="00B53359"/>
    <w:rsid w:val="00BF3379"/>
    <w:rsid w:val="00C35C85"/>
    <w:rsid w:val="00D136B2"/>
    <w:rsid w:val="00D60986"/>
    <w:rsid w:val="00DC26EE"/>
    <w:rsid w:val="00DC6B65"/>
    <w:rsid w:val="00E10292"/>
    <w:rsid w:val="00E57A4B"/>
    <w:rsid w:val="00F02363"/>
    <w:rsid w:val="00F61FDE"/>
    <w:rsid w:val="00FB357E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3A6758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4234108753524211"/>
          <c:y val="3.5481963335304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Lbls>
            <c:dLbl>
              <c:idx val="0"/>
              <c:layout>
                <c:manualLayout>
                  <c:x val="-0.26150212856773791"/>
                  <c:y val="2.23133161976577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850556572725125"/>
                      <c:h val="0.336014192785334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8901569186875891"/>
                  <c:y val="-4.51552210724365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671897289584E-2"/>
                  <c:y val="-4.2990940807845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13373805373566"/>
                      <c:h val="0.23778535036061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5.5278174037089872E-2"/>
                  <c:y val="0.240296294101525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40228245367"/>
                      <c:h val="0.297043169722057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Correspondencia!$A$3:$A$7</c:f>
              <c:strCache>
                <c:ptCount val="4"/>
                <c:pt idx="0">
                  <c:v>Medios de Impugnación</c:v>
                </c:pt>
                <c:pt idx="1">
                  <c:v>Expedientillos</c:v>
                </c:pt>
                <c:pt idx="2">
                  <c:v>Oficio Presidencia</c:v>
                </c:pt>
                <c:pt idx="3">
                  <c:v>Otros (Promociones, Oficios, Cumplimientos de resolución, y otros) </c:v>
                </c:pt>
              </c:strCache>
            </c:strRef>
          </c:cat>
          <c:val>
            <c:numRef>
              <c:f>Correspondencia!$B$3:$B$7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18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28631741802971222"/>
          <c:y val="3.54820273595627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explosion val="4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0B-4C8E-AA85-86CC045709EC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0B-4C8E-AA85-86CC045709EC}"/>
              </c:ext>
            </c:extLst>
          </c:dPt>
          <c:dLbls>
            <c:dLbl>
              <c:idx val="0"/>
              <c:layout>
                <c:manualLayout>
                  <c:x val="-1.6671640372711193E-7"/>
                  <c:y val="-0.1234184572450218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13682915403095"/>
                      <c:h val="0.197291459112934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60B-4C8E-AA85-86CC045709EC}"/>
                </c:ext>
              </c:extLst>
            </c:dLbl>
            <c:dLbl>
              <c:idx val="1"/>
              <c:layout>
                <c:manualLayout>
                  <c:x val="4.2345966546686424E-3"/>
                  <c:y val="-0.10955902492467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949168168503605"/>
                      <c:h val="0.21059573963204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60B-4C8E-AA85-86CC045709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Correspondencia!$A$3:$A$4</c:f>
              <c:strCache>
                <c:ptCount val="2"/>
                <c:pt idx="0">
                  <c:v>JDC</c:v>
                </c:pt>
                <c:pt idx="1">
                  <c:v>Notificación Electronica</c:v>
                </c:pt>
              </c:strCache>
            </c:strRef>
          </c:cat>
          <c:val>
            <c:numRef>
              <c:f>Correspondencia!$B$3:$B$4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0B-4C8E-AA85-86CC045709E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BA2C-EA9C-49B4-9B2F-7B8C4DFF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2023-02-15T16:46:00Z</cp:lastPrinted>
  <dcterms:created xsi:type="dcterms:W3CDTF">2023-03-02T16:37:00Z</dcterms:created>
  <dcterms:modified xsi:type="dcterms:W3CDTF">2023-03-02T19:03:00Z</dcterms:modified>
</cp:coreProperties>
</file>